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spacing w:before="240" w:after="60"/>
        <w:jc w:val="center"/>
        <w:rPr/>
      </w:pPr>
      <w:r>
        <w:rPr/>
        <w:t xml:space="preserve">Požiadavky vyplývajúce z návrhu územného plánu regiónu </w:t>
      </w:r>
    </w:p>
    <w:p>
      <w:pPr>
        <w:pStyle w:val="Nadpis1"/>
        <w:spacing w:before="0" w:after="120"/>
        <w:jc w:val="center"/>
        <w:rPr/>
      </w:pPr>
      <w:bookmarkStart w:id="0" w:name="_Toc57472585"/>
      <w:bookmarkStart w:id="1" w:name="_Toc530792596"/>
      <w:bookmarkEnd w:id="0"/>
      <w:bookmarkEnd w:id="1"/>
      <w:r>
        <w:rPr/>
        <w:t>na území obce, vrátane výstupov zo záväznej časti</w:t>
      </w:r>
    </w:p>
    <w:p>
      <w:pPr>
        <w:pStyle w:val="Normal"/>
        <w:rPr/>
      </w:pPr>
      <w:r>
        <w:rPr/>
      </w:r>
    </w:p>
    <w:p>
      <w:pPr>
        <w:pStyle w:val="Normal"/>
        <w:ind w:firstLine="705"/>
        <w:rPr/>
      </w:pPr>
      <w:r>
        <w:rPr/>
        <w:t>Územný plán veľkého územného celku Prešovského kraja (ÚPN VÚC Prešovského kraja) schválila vláda Slovenskej republiky a jeho záväzná časť bola vyhlásená nariadením vlády Slovenskej republiky č. 216/1998, zmenená nariadením vlády Slovenskej republiky č. 679/2002, nariadením vlády Slovenskej republiky č. 111/2003 Z.z., všeobecne záväzným nariadením Prešovského samosprávneho kraja č. 4/2004 a všeobecne záväzným nariadením Prešovského samosprávneho kraja č. 17/2009.</w:t>
      </w:r>
    </w:p>
    <w:p>
      <w:pPr>
        <w:pStyle w:val="Normal"/>
        <w:ind w:firstLine="705"/>
        <w:rPr/>
      </w:pPr>
      <w:r>
        <w:rPr/>
      </w:r>
    </w:p>
    <w:p>
      <w:pPr>
        <w:pStyle w:val="Normal"/>
        <w:ind w:firstLine="705"/>
        <w:rPr/>
      </w:pPr>
      <w:r>
        <w:rPr/>
        <w:t>Do riešenia územného plánu obce je potrebné premietnuť a zapracovať nasledovné záväzné časti ÚPN VÚC Prešovského kraja, ktoré majú dopad na riešené a záujmové územie obce Ihľany (číslovanie je podľa VZN PSK č. 17/2009 z 27.10.2009):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smallCaps/>
          <w:sz w:val="22"/>
        </w:rPr>
      </w:pPr>
      <w:r>
        <w:rPr>
          <w:b/>
          <w:smallCaps/>
          <w:sz w:val="22"/>
        </w:rPr>
        <w:t>I. Záväzné regulatívy funkčného a priestorového usporiadania územia</w:t>
      </w:r>
    </w:p>
    <w:p>
      <w:pPr>
        <w:pStyle w:val="PlainText"/>
        <w:spacing w:lineRule="atLeast" w:line="26"/>
        <w:ind w:firstLine="284"/>
        <w:rPr>
          <w:rFonts w:ascii="Tahoma" w:hAnsi="Tahoma"/>
          <w:sz w:val="18"/>
        </w:rPr>
      </w:pPr>
      <w:r>
        <w:rPr>
          <w:rFonts w:ascii="Tahoma" w:hAnsi="Tahoma"/>
          <w:sz w:val="18"/>
        </w:rPr>
      </w:r>
    </w:p>
    <w:p>
      <w:pPr>
        <w:pStyle w:val="PlainText"/>
        <w:spacing w:lineRule="atLeast" w:line="26"/>
        <w:ind w:firstLine="284"/>
        <w:rPr>
          <w:rFonts w:ascii="Tahoma" w:hAnsi="Tahoma"/>
          <w:b/>
          <w:b/>
          <w:sz w:val="18"/>
        </w:rPr>
      </w:pPr>
      <w:r>
        <w:rPr>
          <w:rFonts w:ascii="Tahoma" w:hAnsi="Tahoma"/>
          <w:b/>
          <w:sz w:val="18"/>
        </w:rPr>
        <w:t>1. V oblasti usporiadania územia, osídlenia a životného prostredia</w:t>
      </w:r>
    </w:p>
    <w:p>
      <w:pPr>
        <w:pStyle w:val="PlainText"/>
        <w:spacing w:lineRule="atLeast" w:line="26"/>
        <w:ind w:firstLine="567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1.1 podporovať dobudovanie multimodálneho koridoru</w:t>
      </w:r>
    </w:p>
    <w:p>
      <w:pPr>
        <w:pStyle w:val="PlainText"/>
        <w:spacing w:lineRule="atLeast" w:line="26"/>
        <w:ind w:left="851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1.1.4 </w:t>
      </w:r>
      <w:r>
        <w:rPr>
          <w:rFonts w:ascii="Tahoma" w:hAnsi="Tahoma"/>
          <w:bCs/>
          <w:i/>
          <w:sz w:val="18"/>
        </w:rPr>
        <w:t>formovať základnú koncepciu sídelných štruktúr Prešovského kraja vytváraním polycentrickej siete ťažísk  osídlenia a miest, ktorých prepojenia budú podporované rozvojovými osami. Rozvojom polycentrickej sídelnej štruktúry sledovať naviazanie na Slovenskú a celoeurópsku  polycentrickú sídelnú sústavu a komunikačnú kostru, prostredníctvom medzinárodne odsúhlasených dopravných koridorov</w:t>
      </w:r>
      <w:r>
        <w:rPr>
          <w:rFonts w:ascii="Tahoma" w:hAnsi="Tahoma"/>
          <w:i/>
          <w:sz w:val="18"/>
        </w:rPr>
        <w:t>,</w:t>
      </w:r>
    </w:p>
    <w:p>
      <w:pPr>
        <w:pStyle w:val="PlainText"/>
        <w:spacing w:lineRule="atLeast" w:line="26"/>
        <w:ind w:left="851" w:hanging="851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ab/>
        <w:t xml:space="preserve">1.1.5 </w:t>
      </w:r>
      <w:r>
        <w:rPr>
          <w:rFonts w:ascii="Tahoma" w:hAnsi="Tahoma"/>
          <w:bCs/>
          <w:i/>
          <w:sz w:val="18"/>
        </w:rPr>
        <w:t>sledovať pri decentralizácii riadenia rozvoja územia vytváranie polycentrických systémov – sietí miest a aglomerácií, ktoré efektívne podporujú vytváranie vyššej funkčnej komplexnosti subregionálnych celkov,</w:t>
      </w:r>
    </w:p>
    <w:p>
      <w:pPr>
        <w:pStyle w:val="PlainText"/>
        <w:spacing w:lineRule="atLeast" w:line="26"/>
        <w:ind w:left="851" w:hanging="851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ab/>
        <w:t xml:space="preserve">1.1.6 </w:t>
      </w:r>
      <w:r>
        <w:rPr>
          <w:rFonts w:ascii="Tahoma" w:hAnsi="Tahoma"/>
          <w:bCs/>
          <w:i/>
          <w:sz w:val="18"/>
        </w:rPr>
        <w:t>formovať sídelnú štruktúru  prostredníctvom regulácie priestorového usporiadania a funkčného využívania územia jednotlivých hierarchických úrovní ťažísk osídlenia, sídelných centier, rozvojových osí a vidieckych priestorov,</w:t>
      </w:r>
    </w:p>
    <w:p>
      <w:pPr>
        <w:pStyle w:val="PlainText"/>
        <w:spacing w:lineRule="atLeast" w:line="26"/>
        <w:ind w:firstLine="567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1.2 </w:t>
      </w:r>
      <w:r>
        <w:rPr>
          <w:rFonts w:ascii="Tahoma" w:hAnsi="Tahoma"/>
          <w:bCs/>
          <w:i/>
          <w:sz w:val="18"/>
        </w:rPr>
        <w:t>v oblasti  nadregionálnych súvislostí usporiadania územia, rozvoj osídlenia a sídelnej štruktúry</w:t>
      </w:r>
    </w:p>
    <w:p>
      <w:pPr>
        <w:pStyle w:val="PlainText"/>
        <w:spacing w:lineRule="atLeast" w:line="26"/>
        <w:ind w:left="851" w:hanging="851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ab/>
        <w:t>1.2.1</w:t>
      </w:r>
      <w:r>
        <w:rPr>
          <w:rFonts w:ascii="Times New Roman" w:hAnsi="Times New Roman"/>
          <w:bCs/>
          <w:szCs w:val="24"/>
          <w:lang w:eastAsia="cs-CZ"/>
        </w:rPr>
        <w:t xml:space="preserve"> </w:t>
      </w:r>
      <w:r>
        <w:rPr>
          <w:rFonts w:ascii="Tahoma" w:hAnsi="Tahoma"/>
          <w:bCs/>
          <w:i/>
          <w:sz w:val="18"/>
        </w:rPr>
        <w:t>podporovať budovanie rozvojových osí v záujme tvorby vyváženej hierarchizovanej sídelnej štruktúry:</w:t>
      </w:r>
    </w:p>
    <w:p>
      <w:pPr>
        <w:pStyle w:val="PlainText"/>
        <w:spacing w:lineRule="atLeast" w:line="26"/>
        <w:ind w:left="851" w:hanging="851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ab/>
        <w:tab/>
        <w:t>1.2.1.3 podporovať ako rozvojové osi tretieho stupňa:</w:t>
      </w:r>
    </w:p>
    <w:p>
      <w:pPr>
        <w:pStyle w:val="PlainText"/>
        <w:spacing w:lineRule="atLeast" w:line="26"/>
        <w:ind w:left="1418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bCs/>
          <w:i/>
          <w:sz w:val="18"/>
        </w:rPr>
        <w:t>1.2.1.3.1kežmarsko-ľubovniansku rozvojovú os: Poprad–Kežmarok–Stará Ľubovňa–Spišská Stará Ves,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1.3 ťažiská osídlenia </w:t>
      </w:r>
      <w:r>
        <w:rPr>
          <w:rFonts w:ascii="Tahoma" w:hAnsi="Tahoma"/>
          <w:bCs/>
          <w:i/>
          <w:sz w:val="18"/>
        </w:rPr>
        <w:t>v oblasti regionálnych súvislostí usporiadania osídlenia</w:t>
      </w:r>
    </w:p>
    <w:p>
      <w:pPr>
        <w:pStyle w:val="PlainText"/>
        <w:spacing w:lineRule="atLeast" w:line="26"/>
        <w:ind w:left="851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1.3.2 </w:t>
      </w:r>
      <w:r>
        <w:rPr>
          <w:rFonts w:ascii="Tahoma" w:hAnsi="Tahoma"/>
          <w:bCs/>
          <w:i/>
          <w:sz w:val="18"/>
        </w:rPr>
        <w:t>podporovať ako ťažiská osídlenia druhej úrovne /nadregionálneho až celoštátneho významu/</w:t>
      </w:r>
      <w:r>
        <w:rPr>
          <w:rFonts w:ascii="Tahoma" w:hAnsi="Tahoma"/>
          <w:i/>
          <w:sz w:val="18"/>
        </w:rPr>
        <w:t>:</w:t>
      </w:r>
    </w:p>
    <w:p>
      <w:pPr>
        <w:pStyle w:val="PlainText"/>
        <w:spacing w:lineRule="atLeast" w:line="26"/>
        <w:ind w:left="708" w:firstLine="708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1.3.2.1 </w:t>
      </w:r>
      <w:r>
        <w:rPr>
          <w:rFonts w:ascii="Tahoma" w:hAnsi="Tahoma"/>
          <w:bCs/>
          <w:i/>
          <w:sz w:val="18"/>
        </w:rPr>
        <w:t>popradsko-spišskonovoveské ťažisko osídlenia,</w:t>
      </w:r>
    </w:p>
    <w:p>
      <w:pPr>
        <w:pStyle w:val="PlainText"/>
        <w:spacing w:lineRule="atLeast" w:line="26"/>
        <w:ind w:left="851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1.3.4 podporovať ako ťažiská osídlenia, tretej úrovne druhej skupiny / miestneho významu/:</w:t>
      </w:r>
    </w:p>
    <w:p>
      <w:pPr>
        <w:pStyle w:val="PlainText"/>
        <w:spacing w:lineRule="atLeast" w:line="26"/>
        <w:ind w:left="708" w:firstLine="708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1.3.4.3 </w:t>
      </w:r>
      <w:r>
        <w:rPr>
          <w:rFonts w:ascii="Tahoma" w:hAnsi="Tahoma"/>
          <w:bCs/>
          <w:i/>
          <w:sz w:val="18"/>
        </w:rPr>
        <w:t>staroľubovnianske ťažisko osídlenia,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1.3.8  podporovať rozvoj sídelných centier, ktoré tvoria základné terciárne centrá osídlenia, rozvojové centrá hospodárskych, obslužných a sociálnych aktivít ako pre priliehajúce zázemie, tak pre príslušný regionálny celok, a to hierarchickým systémom pozostávajúcim z týchto skupín centier: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1.3.8.4 druhej skupiny, ktoré tvoria jej druhú podskupinu: Kežmarok, Vranov nad Topľou,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1.3.8.5 tretej skupiny, ktoré tvoria jej prvú podskupinu: Levoča, Snina, Stará Ľubovňa, Svidník,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1.3.8.7 centier štvrtej skupiny: Lipany, Spišská Belá, Spišské Podhradie, Svit,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1.3.8.8 centier piatej skupiny: Podolínec, Spišská Stará Ves,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1.5  podporovať rozvoj priestorov - mikroregiónov mimo ťažísk osídlenia, charakterizovaných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ekonomickou a demografickou depresiou a tento princíp aplikovať aj pri tvorbe subregiónov,</w:t>
        <w:tab/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1.6 vytvárať priestorové podmienky na vedenie rozhodujúcich sietí technickej infraštruktúry a rezervovať plochy pre ekologické stavby regionálneho a nadregionálneho významu,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1.7 rešpektovať podmienky vyplývajúce zo záujmov obrany štátu v okrese Kežmarok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1.8 </w:t>
      </w:r>
      <w:r>
        <w:rPr>
          <w:rFonts w:ascii="Tahoma" w:hAnsi="Tahoma"/>
          <w:bCs/>
          <w:i/>
          <w:iCs/>
          <w:sz w:val="18"/>
        </w:rPr>
        <w:t xml:space="preserve">chrániť </w:t>
      </w:r>
      <w:r>
        <w:rPr>
          <w:rFonts w:ascii="Tahoma" w:hAnsi="Tahoma"/>
          <w:i/>
          <w:sz w:val="18"/>
        </w:rPr>
        <w:t>poľnohospodársku pôdu a lesy ako obmedzujúci faktor urbanistického rozvoja územia,</w:t>
      </w:r>
    </w:p>
    <w:p>
      <w:pPr>
        <w:pStyle w:val="Normal"/>
        <w:ind w:left="567" w:hanging="0"/>
        <w:rPr>
          <w:i/>
          <w:i/>
          <w:sz w:val="18"/>
        </w:rPr>
      </w:pPr>
      <w:r>
        <w:rPr>
          <w:i/>
          <w:sz w:val="18"/>
        </w:rPr>
        <w:t xml:space="preserve">1.9 </w:t>
      </w:r>
      <w:r>
        <w:rPr>
          <w:bCs/>
          <w:i/>
          <w:sz w:val="18"/>
        </w:rPr>
        <w:t xml:space="preserve">v územnoplánovacích dokumentáciách </w:t>
      </w:r>
      <w:r>
        <w:rPr>
          <w:i/>
          <w:sz w:val="18"/>
        </w:rPr>
        <w:t>a územnoplánovacích</w:t>
      </w:r>
      <w:r>
        <w:rPr>
          <w:bCs/>
          <w:i/>
          <w:sz w:val="18"/>
        </w:rPr>
        <w:t xml:space="preserve"> podkladoch obcí na území národných parkov, v ich ochranných pásmach, chránených krajinných oblastiach a </w:t>
      </w:r>
      <w:r>
        <w:rPr>
          <w:i/>
          <w:sz w:val="18"/>
        </w:rPr>
        <w:t>v územiach patriacich do sústavy NATURA 2000,  posudzovať všetky novo navrhované zóny, väčšie stavebné komplexy a ďalšie činnosti, v zmysle platnej legislatívy o posudzovaní vplyvov na životné prostredie,</w:t>
      </w:r>
    </w:p>
    <w:p>
      <w:pPr>
        <w:pStyle w:val="Normal"/>
        <w:ind w:left="567" w:hanging="0"/>
        <w:rPr>
          <w:bCs/>
          <w:i/>
          <w:i/>
          <w:sz w:val="18"/>
          <w:lang w:val="cs-CZ"/>
        </w:rPr>
      </w:pPr>
      <w:r>
        <w:rPr>
          <w:i/>
          <w:sz w:val="18"/>
        </w:rPr>
        <w:t xml:space="preserve">1.13 </w:t>
      </w:r>
      <w:r>
        <w:rPr>
          <w:bCs/>
          <w:i/>
          <w:sz w:val="18"/>
          <w:lang w:val="cs-CZ"/>
        </w:rPr>
        <w:t>oblasti civilnej ochrany obyvateľstva rezervovať plochy pre zariadenia na ukrývanie obyvateľstva       v prípade ohrozenia,</w:t>
      </w:r>
    </w:p>
    <w:p>
      <w:pPr>
        <w:pStyle w:val="Normal"/>
        <w:ind w:left="567" w:hanging="0"/>
        <w:rPr>
          <w:bCs/>
          <w:i/>
          <w:i/>
          <w:sz w:val="18"/>
        </w:rPr>
      </w:pPr>
      <w:r>
        <w:rPr>
          <w:bCs/>
          <w:i/>
          <w:sz w:val="18"/>
          <w:lang w:val="cs-CZ"/>
        </w:rPr>
        <w:t xml:space="preserve">1.14 </w:t>
      </w:r>
      <w:r>
        <w:rPr>
          <w:bCs/>
          <w:i/>
          <w:sz w:val="18"/>
        </w:rPr>
        <w:t>v oblasti rozvoja vidieckeho priestoru a vzťahu medzi mestom a vidiekom:</w:t>
      </w:r>
    </w:p>
    <w:p>
      <w:pPr>
        <w:pStyle w:val="Normal"/>
        <w:ind w:left="851" w:hanging="0"/>
        <w:rPr/>
      </w:pPr>
      <w:r>
        <w:rPr>
          <w:bCs/>
          <w:i/>
          <w:sz w:val="18"/>
        </w:rPr>
        <w:t>1.14.1 zabezpečovať vyvážený rozvoj územia, najmä v horských a podhorských oblastiach v nadväznosti na definované centrá polycentrických sústav a osídlenia sídelnej štruktúry Prešovského kraja,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1.14.2 podporovať vzťah urbánnych a rurálnych území v novom partnerstve založenom na integrácii funkčných vzťahov mesta a vidieka a kultúrno-historických a urbanisticko-architektonických daností,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1.14.3 vytvárať podmienky dobrej dostupnosti vidieckych priestorov k sídelným centrám, podporovať výstavbu  verejného dopravného a technického vybavenia obcí, moderných informačných technológií tak, aby vidiecke priestory vytvárali kultúrne a pracoviskovo rovnocenné prostredie voči urbánnym priestorom a dosiahnuť tak skĺbenie tradičného vidieckeho prostredia s požiadavkami na moderný spôsob života,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1.14.4 pri rozvoji vidieckych oblastí zohľadňovať ich špecifické prírodné a krajinné prostredie a pri rozvoji  jednotlivých činností dbať na zamedzenie, resp. obmedzenie možných negatívnych dôsledkov činností na krajinné a životné prostredie vidieckeho priestoru,</w:t>
      </w:r>
    </w:p>
    <w:p>
      <w:pPr>
        <w:pStyle w:val="Normal"/>
        <w:ind w:left="851" w:hanging="0"/>
        <w:rPr>
          <w:i/>
          <w:i/>
          <w:sz w:val="18"/>
        </w:rPr>
      </w:pPr>
      <w:r>
        <w:rPr>
          <w:bCs/>
          <w:i/>
          <w:sz w:val="18"/>
        </w:rPr>
        <w:t>1.14.5 zachovávať pôvodný špecifický ráz vidieckeho priestoru, vychádzať z pôvodného charakteru zástavby a  historicky utvorenej okolitej krajiny; zachovať historicky utváraný typ zástavby obcí a zohľadňovať národopisné špecifiká jednotlivých regiónov</w:t>
      </w:r>
      <w:r>
        <w:rPr>
          <w:i/>
          <w:sz w:val="18"/>
        </w:rPr>
        <w:t>,</w:t>
      </w:r>
    </w:p>
    <w:p>
      <w:pPr>
        <w:pStyle w:val="Normal"/>
        <w:ind w:left="851" w:hanging="0"/>
        <w:rPr>
          <w:i/>
          <w:i/>
          <w:sz w:val="18"/>
        </w:rPr>
      </w:pPr>
      <w:r>
        <w:rPr>
          <w:i/>
          <w:sz w:val="18"/>
        </w:rPr>
        <w:t>1.14.6  podporiť obnovenie sídiel na území vojenského obvodu Javorina po jeho zrušení v priestore mimo budúcich ochranných pásiem vodohospodárskych diel Jakubany a Tichý Potok, do doby zrušenia vojenského obvodu plánovanou výstavbou, resp. ďalšími aktivitami, nezasahovať ani iným spôsobom neobmedzovať zabezpečovanie úloh obrany štátu v tomto vojenskom obvode,</w:t>
      </w:r>
    </w:p>
    <w:p>
      <w:pPr>
        <w:pStyle w:val="Normal"/>
        <w:ind w:left="567" w:hanging="0"/>
        <w:rPr>
          <w:bCs/>
          <w:i/>
          <w:i/>
          <w:sz w:val="18"/>
          <w:lang w:val="cs-CZ"/>
        </w:rPr>
      </w:pPr>
      <w:r>
        <w:rPr>
          <w:bCs/>
          <w:i/>
          <w:sz w:val="18"/>
          <w:lang w:val="cs-CZ"/>
        </w:rPr>
        <w:t>1.15 v oblasti sociálnej infrastruktury</w:t>
      </w:r>
    </w:p>
    <w:p>
      <w:pPr>
        <w:pStyle w:val="Normal"/>
        <w:ind w:left="567" w:firstLine="284"/>
        <w:rPr>
          <w:bCs/>
          <w:i/>
          <w:i/>
          <w:sz w:val="18"/>
          <w:lang w:val="cs-CZ"/>
        </w:rPr>
      </w:pPr>
      <w:r>
        <w:rPr>
          <w:bCs/>
          <w:i/>
          <w:sz w:val="18"/>
          <w:lang w:val="cs-CZ"/>
        </w:rPr>
        <w:t>1.15.1 v oblasti školstva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  <w:lang w:val="cs-CZ"/>
        </w:rPr>
        <w:t xml:space="preserve">1.15.1.6 </w:t>
      </w:r>
      <w:r>
        <w:rPr>
          <w:bCs/>
          <w:i/>
          <w:sz w:val="18"/>
        </w:rPr>
        <w:t>vytvárať územno-technické predpoklady pre umiestňovanie zariadení k realizácii rekvalifikačných programov na zabezpečenie prepojenia medzi požiadavkami trhu a kvalifikačnou štruktúrou evidovaných nezamestnaných a rekvalifikačné programy na uľahčenie začlenenia do pracovného života absolventov škôl, mladistvých a dlhodobo nezamestnaných,</w:t>
      </w:r>
    </w:p>
    <w:p>
      <w:pPr>
        <w:pStyle w:val="Normal"/>
        <w:ind w:left="567" w:firstLine="284"/>
        <w:rPr>
          <w:bCs/>
          <w:i/>
          <w:i/>
          <w:sz w:val="18"/>
          <w:lang w:val="cs-CZ"/>
        </w:rPr>
      </w:pPr>
      <w:r>
        <w:rPr>
          <w:bCs/>
          <w:i/>
          <w:sz w:val="18"/>
          <w:lang w:val="cs-CZ"/>
        </w:rPr>
        <w:t>1.15.2 v oblasti zdravotníctva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  <w:lang w:val="cs-CZ"/>
        </w:rPr>
        <w:t xml:space="preserve">1.15.2.1 </w:t>
      </w:r>
      <w:r>
        <w:rPr>
          <w:bCs/>
          <w:i/>
          <w:sz w:val="18"/>
        </w:rPr>
        <w:t>vytvárať územno-technické predpoklady na rovnakú prístupnosť a primeranú efektívnu dostupnosť   zariadeniami ambulantnej a ústavnej starostlivosti a jej zameranie na prevenciu, včasnú diagnostiku a liečbu závažných ochorení,</w:t>
      </w:r>
    </w:p>
    <w:p>
      <w:pPr>
        <w:pStyle w:val="Normal"/>
        <w:ind w:left="1418" w:hanging="0"/>
        <w:rPr>
          <w:bCs/>
          <w:i/>
          <w:i/>
          <w:sz w:val="18"/>
          <w:lang w:val="cs-CZ"/>
        </w:rPr>
      </w:pPr>
      <w:r>
        <w:rPr>
          <w:bCs/>
          <w:i/>
          <w:sz w:val="18"/>
        </w:rPr>
        <w:t xml:space="preserve">1.15.2.4 </w:t>
      </w:r>
      <w:r>
        <w:rPr>
          <w:bCs/>
          <w:i/>
          <w:sz w:val="18"/>
          <w:lang w:val="cs-CZ"/>
        </w:rPr>
        <w:t>vytvárať podmienky na ochranu zdravia odstraňovaním rizikových faktorov v území,</w:t>
      </w:r>
      <w:r>
        <w:rPr>
          <w:bCs/>
          <w:i/>
          <w:sz w:val="18"/>
        </w:rPr>
        <w:t xml:space="preserve"> </w:t>
      </w:r>
    </w:p>
    <w:p>
      <w:pPr>
        <w:pStyle w:val="Normal"/>
        <w:ind w:left="567" w:firstLine="284"/>
        <w:rPr>
          <w:bCs/>
          <w:i/>
          <w:i/>
          <w:sz w:val="18"/>
          <w:lang w:val="cs-CZ"/>
        </w:rPr>
      </w:pPr>
      <w:r>
        <w:rPr>
          <w:bCs/>
          <w:i/>
          <w:sz w:val="18"/>
          <w:lang w:val="cs-CZ"/>
        </w:rPr>
        <w:t>1.15.3 v oblasti sociálnych služieb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  <w:lang w:val="cs-CZ"/>
        </w:rPr>
        <w:t xml:space="preserve">1.15.3.2 </w:t>
      </w:r>
      <w:r>
        <w:rPr>
          <w:bCs/>
          <w:i/>
          <w:sz w:val="18"/>
        </w:rPr>
        <w:t>v súvislosti s predpokladaným nárastom počtu obyvateľov v poproduktívnom veku vytvárať územno-technické predpoklady pre lokalizáciu ubytovacích zariadení pre občanov v dôchodkovom veku  s preferovaním zariadení rodinného a penziónového typu,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</w:rPr>
        <w:t>1.15.3.3  zriaďovať zariadenia sociálnych služieb a rozširovať ich sieť v závislosti od konkrétnych potrieb,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</w:rPr>
        <w:t>1.15.3.5  vytvárať územnotechnické predpoklady na uskutočňovanie výstavby zariadení na vzdelávanie Rómov a rozvoj rómskej kultúry,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</w:rPr>
        <w:t>1.15.3.6  vytvárať územnotechnické podmienky bývania, občianskeho vybavenia a realizáciu technickej infraštrúry marginalizovaných skupín obyvateľstva,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</w:rPr>
        <w:t>1.15.3.7  vytváranými územnotechnickými podmienkami podporovať v rámci sústredeného osídlenia podnikateľské aktivity rómskeho etnika,</w:t>
      </w:r>
    </w:p>
    <w:p>
      <w:pPr>
        <w:pStyle w:val="Normal"/>
        <w:ind w:left="567" w:hanging="0"/>
        <w:rPr>
          <w:bCs/>
          <w:i/>
          <w:i/>
          <w:sz w:val="18"/>
          <w:lang w:val="cs-CZ"/>
        </w:rPr>
      </w:pPr>
      <w:r>
        <w:rPr>
          <w:bCs/>
          <w:i/>
          <w:sz w:val="18"/>
          <w:lang w:val="cs-CZ"/>
        </w:rPr>
        <w:t>1.16 v oblasti kultúry a umenia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  <w:lang w:val="cs-CZ"/>
        </w:rPr>
        <w:t xml:space="preserve">1.16.1 </w:t>
      </w:r>
      <w:r>
        <w:rPr>
          <w:bCs/>
          <w:i/>
          <w:sz w:val="18"/>
        </w:rPr>
        <w:t>rešpektovať typickú formu a štruktúru osídlenia charakterizujúcu jednotlivé etno-kultúrne, hospodársko-sociálne a prírodno-klimatické oblasti a rešpektovať potenciál takých kultúrno-historických a spoločenských hodnôt a javov, ktoré kontinuálne pôsobia v danom prostredí a predstavujú rozvojové impulzy kraja (etno-kultúrne a spoločenské tradície, historické udalosti, osobnosti a artefakty na celom vymedzenom území),</w:t>
      </w:r>
    </w:p>
    <w:p>
      <w:pPr>
        <w:pStyle w:val="Normal"/>
        <w:ind w:left="851" w:hanging="0"/>
        <w:rPr>
          <w:bCs/>
          <w:i/>
          <w:i/>
          <w:sz w:val="18"/>
          <w:lang w:val="cs-CZ"/>
        </w:rPr>
      </w:pPr>
      <w:r>
        <w:rPr>
          <w:bCs/>
          <w:i/>
          <w:sz w:val="18"/>
        </w:rPr>
        <w:t xml:space="preserve">1.16.2 </w:t>
      </w:r>
      <w:r>
        <w:rPr>
          <w:bCs/>
          <w:i/>
          <w:sz w:val="18"/>
          <w:lang w:val="cs-CZ"/>
        </w:rPr>
        <w:t>vytvárať územno-technické podmienky  pre podporou  kultúrnych zariadení v regióne ako neoddeliteľnej súčasti  existujúcej infraštruktúry  kultúrnych  služieb obyvateľstvu,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 xml:space="preserve">1.16.3 </w:t>
      </w:r>
      <w:r>
        <w:rPr>
          <w:bCs/>
          <w:i/>
          <w:sz w:val="18"/>
          <w:lang w:val="cs-CZ"/>
        </w:rPr>
        <w:t>vytvárať územnotechnické podmienky  pre podporou  zariadení zachovávajúcich a rozvíjajúcich tradičnú kultúru identickú pre subregióny,</w:t>
      </w:r>
    </w:p>
    <w:p>
      <w:pPr>
        <w:pStyle w:val="Normal"/>
        <w:ind w:left="567" w:hanging="0"/>
        <w:rPr>
          <w:bCs/>
          <w:i/>
          <w:i/>
          <w:sz w:val="18"/>
          <w:lang w:val="cs-CZ"/>
        </w:rPr>
      </w:pPr>
      <w:r>
        <w:rPr>
          <w:bCs/>
          <w:i/>
          <w:sz w:val="18"/>
          <w:lang w:val="cs-CZ"/>
        </w:rPr>
        <w:t xml:space="preserve">1.17 v oblasti </w:t>
      </w:r>
      <w:r>
        <w:rPr>
          <w:bCs/>
          <w:i/>
          <w:sz w:val="18"/>
        </w:rPr>
        <w:t>prírodného a kultúrneho dedičstva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1.17.1  rešpektovať kultúrnohistorické dedičstvo, predovšetkým vyhlásené kultúrne pamiatky, vyhlásené pamiatkové územia ( pamiatkové rezervácie, pamiatkové zóny a ich ochranné pásma ),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pamätihodnosti a súbory navrhované na vyhlásenie v súlade so zákonom o ochrane pamiatok,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1.17.2 uplatniť a rešpektovať typovú a funkčnú profiláciu sídel mestského a malomestského charakteru a rôzne formy vidieckeho osídlenia vrátane rurálnej štruktúry v rozptyle a rešpektovať kultúrno-historické urbanistické celky, a to aj v širšom rozsahu, ako požaduje ochrana pamiatok,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1.17.4  vytvárať podmienky na ochranu výrazných kompozičných prvkov v krajinnom obraze,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1.17.5 využívanie kultúrnych pamiatok a pamiatkových území prispôsobiť ďalšie využívanie ochranným podmienkam pre jednotlivé skupiny pamiatok určených v návrhoch opatrení na ich zachovanie,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1.17.6 rešpektovať dominantné znaky typu pôvodnej a kultúrnej krajiny, morfológie a klímy v oblasti stredného a horného Spiša,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 xml:space="preserve">1.17.9 venovať osobitnú pozornosť lokalitám známych, evidovaných aj predpokladaných archeologických nálezísk, pričom orgánom ochrany archeologických nálezísk je Pamiatkový úrad SR, 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1.17.10 zachovať typickú štruktúru krajiny na území národných parkov, chránených krajinných oblastí, v pripravovaných chránených krajinných oblastiach a pri novej výstavbe usmerňovať rozvoj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sídelných štruktúr vo väzbe na zachovaný historický urbanizmus a s ohľadom na prostredie jednotlivých národných kultúrnych pamiatok. Pri rekonštrukciách rešpektovať tradičnú architektúru a z hľadiska krajinotvorby limitovať štruktúru zástavby a výškové zónovanie hmôt.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</w:r>
    </w:p>
    <w:p>
      <w:pPr>
        <w:pStyle w:val="Normal"/>
        <w:ind w:left="284" w:hanging="0"/>
        <w:jc w:val="left"/>
        <w:rPr>
          <w:b/>
          <w:b/>
          <w:sz w:val="18"/>
        </w:rPr>
      </w:pPr>
      <w:r>
        <w:rPr>
          <w:b/>
          <w:sz w:val="18"/>
        </w:rPr>
        <w:t>2. V oblasti rozvoja rekreácie a turistiky</w:t>
      </w:r>
    </w:p>
    <w:p>
      <w:pPr>
        <w:pStyle w:val="PlainText"/>
        <w:spacing w:lineRule="atLeast" w:line="26"/>
        <w:ind w:left="567" w:hanging="0"/>
        <w:rPr>
          <w:rFonts w:ascii="Tahoma" w:hAnsi="Tahoma" w:cs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2.1 považovať za hlavné rekreačné krajinné </w:t>
      </w:r>
      <w:r>
        <w:rPr>
          <w:rFonts w:cs="Tahoma" w:ascii="Tahoma" w:hAnsi="Tahoma"/>
          <w:i/>
          <w:sz w:val="18"/>
        </w:rPr>
        <w:t>celky ..., Ľubické predhorie, ...,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2.2 za priestory spoločného záujmu pri zabezpečovaní ich rozvoja považovať rekreačné priestory v prihraničnej oblasti s Poľskou republikou,</w:t>
      </w:r>
    </w:p>
    <w:p>
      <w:pPr>
        <w:pStyle w:val="PlainText"/>
        <w:spacing w:lineRule="atLeast" w:line="26"/>
        <w:ind w:left="567" w:hanging="0"/>
        <w:rPr>
          <w:rFonts w:ascii="Tahoma" w:hAnsi="Tahoma" w:cs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2.4 </w:t>
      </w:r>
      <w:r>
        <w:rPr>
          <w:rFonts w:cs="Tahoma" w:ascii="Tahoma" w:hAnsi="Tahoma"/>
          <w:i/>
          <w:sz w:val="18"/>
        </w:rPr>
        <w:t>vytvárať podmienky pre vznik nových komplexných stredísk CR s fakultatívnym využitím potenciálu atraktívnych priestorov, pri rešpektovaní záujmov ochrany prírody a krajiny,</w:t>
      </w:r>
    </w:p>
    <w:p>
      <w:pPr>
        <w:pStyle w:val="PlainText"/>
        <w:spacing w:lineRule="atLeast" w:line="26"/>
        <w:ind w:left="567" w:hanging="0"/>
        <w:rPr>
          <w:rFonts w:ascii="Tahoma" w:hAnsi="Tahoma" w:cs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2.6 </w:t>
      </w:r>
      <w:r>
        <w:rPr>
          <w:rFonts w:cs="Tahoma" w:ascii="Tahoma" w:hAnsi="Tahoma"/>
          <w:i/>
          <w:sz w:val="18"/>
        </w:rPr>
        <w:t>podporovať a prednostne rozvíjať tie druhy a formy turizmu, ktoré majú pre rozvoj v danom území</w:t>
      </w:r>
    </w:p>
    <w:p>
      <w:pPr>
        <w:pStyle w:val="PlainText"/>
        <w:spacing w:lineRule="atLeast" w:line="26"/>
        <w:ind w:left="567" w:hanging="0"/>
        <w:rPr>
          <w:rFonts w:ascii="Tahoma" w:hAnsi="Tahoma" w:cs="Tahoma"/>
          <w:i/>
          <w:i/>
          <w:sz w:val="18"/>
        </w:rPr>
      </w:pPr>
      <w:r>
        <w:rPr>
          <w:rFonts w:cs="Tahoma" w:ascii="Tahoma" w:hAnsi="Tahoma"/>
          <w:i/>
          <w:sz w:val="18"/>
        </w:rPr>
        <w:t>najlepšie predpoklady a ktoré sú zároveň predmetom medzinárodného významu (letný a zimný horský turizmus, kultúrno – poznávací turizmus, kúpeľný turizmus, kúpeľný liečebno-rekondičný turizmus, ekoturizmus a agroturizmus,</w:t>
      </w:r>
    </w:p>
    <w:p>
      <w:pPr>
        <w:pStyle w:val="PlainText"/>
        <w:spacing w:lineRule="atLeast" w:line="26"/>
        <w:ind w:left="567" w:hanging="0"/>
        <w:rPr>
          <w:rFonts w:ascii="Tahoma" w:hAnsi="Tahoma" w:cs="Tahoma"/>
          <w:i/>
          <w:i/>
          <w:sz w:val="18"/>
        </w:rPr>
      </w:pPr>
      <w:r>
        <w:rPr>
          <w:rFonts w:cs="Tahoma" w:ascii="Tahoma" w:hAnsi="Tahoma"/>
          <w:i/>
          <w:sz w:val="18"/>
        </w:rPr>
        <w:t>2.8 uprednostňovať budovanie infraštruktúry v sídlach bez ekonomického zázemia určených na rozvoj</w:t>
      </w:r>
    </w:p>
    <w:p>
      <w:pPr>
        <w:pStyle w:val="PlainText"/>
        <w:spacing w:lineRule="atLeast" w:line="26"/>
        <w:ind w:left="567" w:hanging="0"/>
        <w:rPr>
          <w:rFonts w:ascii="Tahoma" w:hAnsi="Tahoma" w:cs="Tahoma"/>
          <w:i/>
          <w:i/>
          <w:sz w:val="18"/>
        </w:rPr>
      </w:pPr>
      <w:r>
        <w:rPr>
          <w:rFonts w:cs="Tahoma" w:ascii="Tahoma" w:hAnsi="Tahoma"/>
          <w:i/>
          <w:sz w:val="18"/>
        </w:rPr>
        <w:t>turistiky a rekreácie,</w:t>
      </w:r>
    </w:p>
    <w:p>
      <w:pPr>
        <w:pStyle w:val="Normal"/>
        <w:ind w:left="567" w:hanging="0"/>
        <w:rPr>
          <w:bCs/>
          <w:i/>
          <w:i/>
          <w:sz w:val="18"/>
        </w:rPr>
      </w:pPr>
      <w:r>
        <w:rPr>
          <w:bCs/>
          <w:i/>
          <w:sz w:val="18"/>
          <w:lang w:val="cs-CZ"/>
        </w:rPr>
        <w:t xml:space="preserve">2.10  </w:t>
      </w:r>
      <w:r>
        <w:rPr>
          <w:bCs/>
          <w:i/>
          <w:sz w:val="18"/>
        </w:rPr>
        <w:t>usmerňovať rozvoj funkčno-priestorového subsystému rekreácie a turizmu v súlade s Koncepciou</w:t>
      </w:r>
    </w:p>
    <w:p>
      <w:pPr>
        <w:pStyle w:val="Normal"/>
        <w:ind w:left="567" w:hanging="0"/>
        <w:rPr>
          <w:bCs/>
          <w:i/>
          <w:i/>
          <w:sz w:val="18"/>
        </w:rPr>
      </w:pPr>
      <w:r>
        <w:rPr>
          <w:bCs/>
          <w:i/>
          <w:sz w:val="18"/>
        </w:rPr>
        <w:t>územného rozvoja Slovenska 2001, Regionalizáciou cestovného ruchu Slovenskej republiky a Programom hospodárskeho a sociálneho rozvoja Prešovského samosprávneho kraja,</w:t>
      </w:r>
    </w:p>
    <w:p>
      <w:pPr>
        <w:pStyle w:val="Normal"/>
        <w:ind w:left="567" w:hanging="0"/>
        <w:rPr>
          <w:bCs/>
          <w:i/>
          <w:i/>
          <w:sz w:val="18"/>
        </w:rPr>
      </w:pPr>
      <w:r>
        <w:rPr>
          <w:bCs/>
          <w:i/>
          <w:sz w:val="18"/>
        </w:rPr>
        <w:t>2.16 v záujme zlepšovania dostupnosti centier, vytvárať územnotechnické podmienky pre realizáciu</w:t>
      </w:r>
    </w:p>
    <w:p>
      <w:pPr>
        <w:pStyle w:val="Normal"/>
        <w:ind w:left="567" w:hanging="0"/>
        <w:rPr>
          <w:bCs/>
          <w:i/>
          <w:i/>
          <w:sz w:val="18"/>
        </w:rPr>
      </w:pPr>
      <w:r>
        <w:rPr>
          <w:bCs/>
          <w:i/>
          <w:sz w:val="18"/>
        </w:rPr>
        <w:t>turistických ciest: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2.16.1 na úrovni medzinárodných súvislostí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</w:rPr>
        <w:t>2.16.1.1 cestné severo–južné prepojenie prešovským regiónom od severských a pobaltských štátov smerom na Balkán hranica Poľskej republiky – Podspády– Spišská Belá - Kežmarok – Poprad – Vernár – hranica Košického kraja,</w:t>
      </w:r>
    </w:p>
    <w:p>
      <w:pPr>
        <w:pStyle w:val="Normal"/>
        <w:ind w:left="1418" w:hanging="0"/>
        <w:rPr>
          <w:bCs/>
          <w:i/>
          <w:i/>
          <w:sz w:val="18"/>
          <w:lang w:val="cs-CZ"/>
        </w:rPr>
      </w:pPr>
      <w:r>
        <w:rPr>
          <w:bCs/>
          <w:i/>
          <w:sz w:val="18"/>
        </w:rPr>
        <w:t>2.16.1.4 medzinárodné cyklomagistrály a pešie turistické magistrály prepájajúce významné turistické centrá v Európe prechádzajúce Prešovským samosprávnym krajom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2.16.2 na nadregionálnej úrovni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</w:rPr>
        <w:t>2.16.2.2 nadregionálne cyklomagistrály a pešie turistické magistrály prepájajúce Prešovský región s významnými turistickými centrami na Slovensku,</w:t>
      </w:r>
    </w:p>
    <w:p>
      <w:pPr>
        <w:pStyle w:val="Normal"/>
        <w:ind w:left="851" w:hanging="0"/>
        <w:rPr>
          <w:bCs/>
          <w:i/>
          <w:i/>
          <w:sz w:val="18"/>
        </w:rPr>
      </w:pPr>
      <w:r>
        <w:rPr>
          <w:bCs/>
          <w:i/>
          <w:sz w:val="18"/>
        </w:rPr>
        <w:t>2.16.3 na regionálnej úrovni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</w:rPr>
        <w:t>2.16.3.1 cestný koridor hranica PR – Lysá nad Dunajcom – Spišská Stará Ves – Spišská Belá – Kežmarok - (Poprad - Vernár ) – Levoča – ( Prešov ) - hranica Košického kraja,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</w:rPr>
        <w:t>2.16.3.3 regionálne cyklotrasy a pešie turistické chodníky prepájajúce významné turistické centrá regiónu: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</w:rPr>
        <w:t>a) 007 Podtatranská cyklomagistrála</w:t>
      </w:r>
    </w:p>
    <w:p>
      <w:pPr>
        <w:pStyle w:val="Normal"/>
        <w:ind w:left="1418" w:hanging="0"/>
        <w:rPr>
          <w:bCs/>
          <w:i/>
          <w:i/>
          <w:sz w:val="18"/>
        </w:rPr>
      </w:pPr>
      <w:r>
        <w:rPr>
          <w:bCs/>
          <w:i/>
          <w:sz w:val="18"/>
        </w:rPr>
        <w:t>b) 014 Spišská cyklomagistrála (severná vetva)</w:t>
      </w:r>
    </w:p>
    <w:p>
      <w:pPr>
        <w:pStyle w:val="PlainText"/>
        <w:spacing w:lineRule="atLeast" w:line="26"/>
        <w:rPr>
          <w:rFonts w:ascii="Tahoma" w:hAnsi="Tahoma"/>
          <w:sz w:val="18"/>
        </w:rPr>
      </w:pPr>
      <w:r>
        <w:rPr>
          <w:rFonts w:ascii="Tahoma" w:hAnsi="Tahoma"/>
          <w:sz w:val="18"/>
        </w:rPr>
      </w:r>
    </w:p>
    <w:p>
      <w:pPr>
        <w:pStyle w:val="PlainText"/>
        <w:spacing w:lineRule="atLeast" w:line="26"/>
        <w:ind w:firstLine="284"/>
        <w:rPr>
          <w:rFonts w:ascii="Tahoma" w:hAnsi="Tahoma"/>
          <w:b/>
          <w:b/>
          <w:sz w:val="18"/>
        </w:rPr>
      </w:pPr>
      <w:r>
        <w:rPr>
          <w:rFonts w:ascii="Tahoma" w:hAnsi="Tahoma"/>
          <w:b/>
          <w:sz w:val="18"/>
        </w:rPr>
        <w:t>4. Ekostabilizačné opatrenia: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4.1 </w:t>
      </w:r>
      <w:r>
        <w:rPr>
          <w:rFonts w:cs="Tahoma" w:ascii="Tahoma" w:hAnsi="Tahoma"/>
          <w:bCs/>
          <w:i/>
          <w:iCs/>
          <w:sz w:val="18"/>
        </w:rPr>
        <w:t>pri umiestňovaní investícií /rozvojových plôch/ prioritne využívať zastavané územia obcí alebo plochy v náväznosti na zastavané územia a stavebné investície umiestňovať prioritne do tzv. hnedých plôch. Nevytvárať nové izolované celky, rešpektovať prírodné a historické danosti územia obcí.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4.3 zabezpečiť funkčnosť prvkov územného systému ekologickej stability pri ďalšom využití a usporiadaní územia,</w:t>
      </w:r>
    </w:p>
    <w:p>
      <w:pPr>
        <w:pStyle w:val="PlainText"/>
        <w:spacing w:lineRule="atLeast" w:line="26"/>
        <w:ind w:left="851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ascii="Tahoma" w:hAnsi="Tahoma"/>
          <w:i/>
          <w:sz w:val="18"/>
        </w:rPr>
        <w:t xml:space="preserve">4.3.6 </w:t>
      </w:r>
      <w:r>
        <w:rPr>
          <w:rFonts w:cs="Tahoma" w:ascii="Tahoma" w:hAnsi="Tahoma"/>
          <w:bCs/>
          <w:i/>
          <w:iCs/>
          <w:sz w:val="18"/>
        </w:rPr>
        <w:t>preferovaním extenzívneho hospodárenia na plochách lesnej pôdy a trvale trávnatých plochách (TTP) s cieľom ochrany cenných ekosystémov,</w:t>
      </w:r>
    </w:p>
    <w:p>
      <w:pPr>
        <w:pStyle w:val="PlainText"/>
        <w:spacing w:lineRule="atLeast" w:line="26"/>
        <w:ind w:left="851" w:hanging="0"/>
        <w:rPr>
          <w:rFonts w:ascii="Tahoma" w:hAnsi="Tahoma" w:cs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4.3.7 </w:t>
      </w:r>
      <w:r>
        <w:rPr>
          <w:rFonts w:cs="Tahoma" w:ascii="Tahoma" w:hAnsi="Tahoma"/>
          <w:bCs/>
          <w:i/>
          <w:iCs/>
          <w:sz w:val="18"/>
        </w:rPr>
        <w:t>obmedziť zastavanie inundačných území pre ich zachovanie ako prirodzeného spôsobu retencie vôd,</w:t>
      </w:r>
    </w:p>
    <w:p>
      <w:pPr>
        <w:pStyle w:val="PlainText"/>
        <w:spacing w:lineRule="atLeast" w:line="26"/>
        <w:ind w:left="567" w:hanging="0"/>
        <w:rPr>
          <w:rFonts w:ascii="Tahoma" w:hAnsi="Tahoma" w:cs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4.5 </w:t>
      </w:r>
      <w:r>
        <w:rPr>
          <w:rFonts w:cs="Tahoma" w:ascii="Tahoma" w:hAnsi="Tahoma"/>
          <w:i/>
          <w:sz w:val="18"/>
        </w:rPr>
        <w:t>pozemkovými úpravami, usporiadaním pozemkového vlastníctva a užívacích pomerov v poľnohospodárskom a lesnom extraviláne podporovať výsadbu plošnej a líniovej zelene, prirodzený spôsob obnovy a revitalizáciu krajiny v prvkoch územného systému ekologickej stability, s maximálnym využitím pôvodných (domácich) druhov rastlín,</w:t>
      </w:r>
    </w:p>
    <w:p>
      <w:pPr>
        <w:pStyle w:val="PlainText"/>
        <w:spacing w:lineRule="atLeast" w:line="26"/>
        <w:ind w:left="567" w:hanging="0"/>
        <w:rPr>
          <w:rFonts w:ascii="Tahoma" w:hAnsi="Tahoma" w:cs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4.6 </w:t>
      </w:r>
      <w:r>
        <w:rPr>
          <w:rFonts w:cs="Tahoma" w:ascii="Tahoma" w:hAnsi="Tahoma"/>
          <w:i/>
          <w:sz w:val="18"/>
        </w:rPr>
        <w:t>podporovať v podhorských oblastiach zmenu spôsobu využívania poľnohospodárskeho pôdneho fondu ohrozeného vodnou eróziou,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4.9 v oblasti ochrany prírody a </w:t>
      </w:r>
      <w:r>
        <w:rPr>
          <w:rFonts w:ascii="Tahoma" w:hAnsi="Tahoma"/>
          <w:bCs/>
          <w:i/>
          <w:iCs/>
          <w:sz w:val="18"/>
        </w:rPr>
        <w:t xml:space="preserve">tvorby </w:t>
      </w:r>
      <w:r>
        <w:rPr>
          <w:rFonts w:ascii="Tahoma" w:hAnsi="Tahoma"/>
          <w:i/>
          <w:sz w:val="18"/>
        </w:rPr>
        <w:t>krajiny</w:t>
      </w:r>
    </w:p>
    <w:p>
      <w:pPr>
        <w:pStyle w:val="PlainText"/>
        <w:spacing w:lineRule="atLeast" w:line="26"/>
        <w:ind w:left="851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ascii="Tahoma" w:hAnsi="Tahoma"/>
          <w:i/>
          <w:sz w:val="18"/>
        </w:rPr>
        <w:t xml:space="preserve">4.9.1 </w:t>
      </w:r>
      <w:r>
        <w:rPr>
          <w:rFonts w:cs="Tahoma" w:ascii="Tahoma" w:hAnsi="Tahoma"/>
          <w:bCs/>
          <w:i/>
          <w:iCs/>
          <w:sz w:val="18"/>
        </w:rPr>
        <w:t>zabezpečiť ochranu osobitne chránených častí prírody a krajiny, postupne zabezpečovať právnu ochranu pripravovaných návrhov území európskeho významu a navrhovaných území európskeho významu za účelom ich začlenenia do sústavy NATURA 2000 a zabezpečiť právnu ochranu navrhovaných chránených vtáčích území ako súčasti sústavy NATURA 2000,</w:t>
      </w:r>
    </w:p>
    <w:p>
      <w:pPr>
        <w:pStyle w:val="PlainText"/>
        <w:spacing w:lineRule="atLeast" w:line="26"/>
        <w:ind w:left="851" w:hanging="0"/>
        <w:rPr>
          <w:rFonts w:ascii="Tahoma" w:hAnsi="Tahoma" w:cs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4.9.2 </w:t>
      </w:r>
      <w:r>
        <w:rPr>
          <w:rFonts w:cs="Tahoma" w:ascii="Tahoma" w:hAnsi="Tahoma"/>
          <w:i/>
          <w:sz w:val="18"/>
        </w:rPr>
        <w:t>pri hospodárskom využívaní chránených území uplatňovať diferencovaný spôsob hospodárenia a uprednostňovať biologické a integrované metódy ochrany územia, najmä zohľadňovať samoreprodukčnú schopnosť revitalizácie prírodných zdrojov,</w:t>
      </w:r>
    </w:p>
    <w:p>
      <w:pPr>
        <w:pStyle w:val="PlainText"/>
        <w:spacing w:lineRule="atLeast" w:line="26"/>
        <w:ind w:left="851" w:hanging="0"/>
        <w:rPr>
          <w:rFonts w:ascii="Tahoma" w:hAnsi="Tahoma" w:cs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4.9.7 </w:t>
      </w:r>
      <w:r>
        <w:rPr>
          <w:rFonts w:cs="Tahoma" w:ascii="Tahoma" w:hAnsi="Tahoma"/>
          <w:i/>
          <w:sz w:val="18"/>
        </w:rPr>
        <w:t>pri hospodárskom využívaní území začlenených medzi prvky územného systému ekologickej stability uplatňovať:</w:t>
      </w:r>
    </w:p>
    <w:p>
      <w:pPr>
        <w:pStyle w:val="PlainText"/>
        <w:spacing w:lineRule="atLeast" w:line="26"/>
        <w:ind w:left="1418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ascii="Tahoma" w:hAnsi="Tahoma"/>
          <w:i/>
          <w:sz w:val="18"/>
        </w:rPr>
        <w:t xml:space="preserve">4.9.7.1 </w:t>
      </w:r>
      <w:r>
        <w:rPr>
          <w:rFonts w:cs="Tahoma" w:ascii="Tahoma" w:hAnsi="Tahoma"/>
          <w:i/>
          <w:sz w:val="18"/>
        </w:rPr>
        <w:t xml:space="preserve">hospodárenie v lesoch </w:t>
      </w:r>
      <w:r>
        <w:rPr>
          <w:rFonts w:cs="Tahoma" w:ascii="Tahoma" w:hAnsi="Tahoma"/>
          <w:bCs/>
          <w:i/>
          <w:iCs/>
          <w:sz w:val="18"/>
        </w:rPr>
        <w:t>tak, aby bol zabezpečený priaznivý stav biotopov a biotopov druhov ako i priaznivý stav časti krajiny, v chránených územiach najmä v kategóriách ochranných lesov a lesov osobitného určenia,</w:t>
      </w:r>
    </w:p>
    <w:p>
      <w:pPr>
        <w:pStyle w:val="PlainText"/>
        <w:spacing w:lineRule="atLeast" w:line="26"/>
        <w:ind w:left="1418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ascii="Tahoma" w:hAnsi="Tahoma"/>
          <w:i/>
          <w:sz w:val="18"/>
        </w:rPr>
        <w:t xml:space="preserve">4.9.7.2 </w:t>
      </w:r>
      <w:r>
        <w:rPr>
          <w:rFonts w:cs="Tahoma" w:ascii="Tahoma" w:hAnsi="Tahoma"/>
          <w:i/>
          <w:sz w:val="18"/>
        </w:rPr>
        <w:t xml:space="preserve">ochranu poľnohospodárskej pôdy pre poľnohospodárske ekosystémy v kategóriách podporujúcich a zabezpečujúcich ekologickú stabilitu územia (trvalé trávne porasty), </w:t>
      </w:r>
      <w:r>
        <w:rPr>
          <w:rFonts w:cs="Tahoma" w:ascii="Tahoma" w:hAnsi="Tahoma"/>
          <w:bCs/>
          <w:i/>
          <w:iCs/>
          <w:sz w:val="18"/>
        </w:rPr>
        <w:t>a hospodárením zabezpečiť priaznivý stav biotopov a biotopov druhov ako i priaznivý stav časti krajiny,</w:t>
      </w:r>
    </w:p>
    <w:p>
      <w:pPr>
        <w:pStyle w:val="PlainText"/>
        <w:spacing w:lineRule="atLeast" w:line="26"/>
        <w:ind w:left="1418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ascii="Tahoma" w:hAnsi="Tahoma"/>
          <w:i/>
          <w:sz w:val="18"/>
        </w:rPr>
        <w:t xml:space="preserve">4.9.7.3 </w:t>
      </w:r>
      <w:r>
        <w:rPr>
          <w:rFonts w:cs="Tahoma" w:ascii="Tahoma" w:hAnsi="Tahoma"/>
          <w:bCs/>
          <w:i/>
          <w:iCs/>
          <w:sz w:val="18"/>
        </w:rPr>
        <w:t xml:space="preserve">prispôsobenie trasovania </w:t>
      </w:r>
      <w:r>
        <w:rPr>
          <w:rFonts w:cs="Tahoma" w:ascii="Tahoma" w:hAnsi="Tahoma"/>
          <w:i/>
          <w:sz w:val="18"/>
        </w:rPr>
        <w:t xml:space="preserve">dopravnej a </w:t>
      </w:r>
      <w:r>
        <w:rPr>
          <w:rFonts w:cs="Tahoma" w:ascii="Tahoma" w:hAnsi="Tahoma"/>
          <w:bCs/>
          <w:i/>
          <w:iCs/>
          <w:sz w:val="18"/>
        </w:rPr>
        <w:t xml:space="preserve">inej </w:t>
      </w:r>
      <w:r>
        <w:rPr>
          <w:rFonts w:cs="Tahoma" w:ascii="Tahoma" w:hAnsi="Tahoma"/>
          <w:i/>
          <w:sz w:val="18"/>
        </w:rPr>
        <w:t xml:space="preserve">technickej infraštruktúry </w:t>
      </w:r>
      <w:r>
        <w:rPr>
          <w:rFonts w:cs="Tahoma" w:ascii="Tahoma" w:hAnsi="Tahoma"/>
          <w:bCs/>
          <w:i/>
          <w:iCs/>
          <w:sz w:val="18"/>
        </w:rPr>
        <w:t xml:space="preserve">ochrane </w:t>
      </w:r>
      <w:r>
        <w:rPr>
          <w:rFonts w:cs="Tahoma" w:ascii="Tahoma" w:hAnsi="Tahoma"/>
          <w:i/>
          <w:sz w:val="18"/>
        </w:rPr>
        <w:t xml:space="preserve">prvkov ekologickej siete tak, aby bola maximálne zabezpečená ich funkčnosť a homogénnosť, </w:t>
      </w:r>
      <w:r>
        <w:rPr>
          <w:rFonts w:cs="Tahoma" w:ascii="Tahoma" w:hAnsi="Tahoma"/>
          <w:bCs/>
          <w:i/>
          <w:iCs/>
          <w:sz w:val="18"/>
        </w:rPr>
        <w:t>v prípade potreby nevyhnutného umiestnenia tejto infraštruktúry do územia biocentra umiestniť ju prioritne do okrajových častí biocentra,</w:t>
      </w:r>
    </w:p>
    <w:p>
      <w:pPr>
        <w:pStyle w:val="PlainText"/>
        <w:spacing w:lineRule="atLeast" w:line="26"/>
        <w:ind w:left="1418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ascii="Tahoma" w:hAnsi="Tahoma"/>
          <w:i/>
          <w:sz w:val="18"/>
        </w:rPr>
        <w:t xml:space="preserve">4.9.7.4 </w:t>
      </w:r>
      <w:r>
        <w:rPr>
          <w:rFonts w:cs="Tahoma" w:ascii="Tahoma" w:hAnsi="Tahoma"/>
          <w:bCs/>
          <w:i/>
          <w:iCs/>
          <w:sz w:val="18"/>
        </w:rPr>
        <w:t xml:space="preserve">eliminovanie stresových faktorov </w:t>
      </w:r>
      <w:r>
        <w:rPr>
          <w:rFonts w:cs="Tahoma" w:ascii="Tahoma" w:hAnsi="Tahoma"/>
          <w:i/>
          <w:sz w:val="18"/>
        </w:rPr>
        <w:t xml:space="preserve">pôsobiacich na prvky územného systému ekologickej stability (pôsobenie priemyselných a dopravných emisií, znečisťovanie vodných tokov a pod.), </w:t>
      </w:r>
      <w:r>
        <w:rPr>
          <w:rFonts w:cs="Tahoma" w:ascii="Tahoma" w:hAnsi="Tahoma"/>
          <w:bCs/>
          <w:i/>
          <w:iCs/>
          <w:sz w:val="18"/>
        </w:rPr>
        <w:t>systémovými opatreniami,</w:t>
      </w:r>
    </w:p>
    <w:p>
      <w:pPr>
        <w:pStyle w:val="PlainText"/>
        <w:spacing w:lineRule="atLeast" w:line="26"/>
        <w:ind w:left="1418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ascii="Tahoma" w:hAnsi="Tahoma"/>
          <w:i/>
          <w:sz w:val="18"/>
        </w:rPr>
        <w:t xml:space="preserve">4.9.7.5 </w:t>
      </w:r>
      <w:r>
        <w:rPr>
          <w:rFonts w:cs="Tahoma" w:ascii="Tahoma" w:hAnsi="Tahoma"/>
          <w:bCs/>
          <w:i/>
          <w:iCs/>
          <w:sz w:val="18"/>
        </w:rPr>
        <w:t>realizovanie ekologického prepojenia, dopravnou a inou technickou infraštruktúrou, rozčlenených biocentier a biokoridorov,</w:t>
      </w:r>
    </w:p>
    <w:p>
      <w:pPr>
        <w:pStyle w:val="PlainText"/>
        <w:spacing w:lineRule="atLeast" w:line="26"/>
        <w:ind w:left="1418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ascii="Tahoma" w:hAnsi="Tahoma"/>
          <w:i/>
          <w:sz w:val="18"/>
        </w:rPr>
        <w:t>4.9.7.6</w:t>
      </w:r>
      <w:r>
        <w:rPr>
          <w:rFonts w:cs="Tahoma" w:ascii="Tahoma" w:hAnsi="Tahoma"/>
          <w:i/>
          <w:sz w:val="18"/>
        </w:rPr>
        <w:t xml:space="preserve"> </w:t>
      </w:r>
      <w:r>
        <w:rPr>
          <w:rFonts w:cs="Tahoma" w:ascii="Tahoma" w:hAnsi="Tahoma"/>
          <w:bCs/>
          <w:i/>
          <w:iCs/>
          <w:sz w:val="18"/>
        </w:rPr>
        <w:t>zabezpečenie maximálnej ochrany brehových porastov hydrických biokoridorov,</w:t>
      </w:r>
    </w:p>
    <w:p>
      <w:pPr>
        <w:pStyle w:val="PlainText"/>
        <w:spacing w:lineRule="atLeast" w:line="26"/>
        <w:ind w:left="1418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ascii="Tahoma" w:hAnsi="Tahoma"/>
          <w:i/>
          <w:sz w:val="18"/>
        </w:rPr>
        <w:t xml:space="preserve">4.9.7.7 </w:t>
      </w:r>
      <w:r>
        <w:rPr>
          <w:rFonts w:cs="Tahoma" w:ascii="Tahoma" w:hAnsi="Tahoma"/>
          <w:bCs/>
          <w:i/>
          <w:iCs/>
          <w:sz w:val="18"/>
        </w:rPr>
        <w:t>minimalizovanie umiestňovania objemovo a plošne náročných stavieb do biocentier a biokoridorov provincionálneho, biosférického, nadregionálneho a regionálneho významu mimo zastavaných území obce a území s osobitnou ochranou, v súlade so všetkými regulatívmi bodu 4.,</w:t>
      </w:r>
    </w:p>
    <w:p>
      <w:pPr>
        <w:pStyle w:val="PlainText"/>
        <w:spacing w:lineRule="atLeast" w:line="26"/>
        <w:ind w:left="851" w:hanging="0"/>
        <w:rPr>
          <w:rFonts w:ascii="Tahoma" w:hAnsi="Tahoma" w:cs="Tahoma"/>
          <w:i/>
          <w:i/>
          <w:sz w:val="18"/>
        </w:rPr>
      </w:pPr>
      <w:r>
        <w:rPr>
          <w:rFonts w:cs="Tahoma" w:ascii="Tahoma" w:hAnsi="Tahoma"/>
          <w:i/>
          <w:sz w:val="18"/>
        </w:rPr>
        <w:t xml:space="preserve">4.9.8 chrániť mokrade spĺňajúce kritériá Ramsarskej konvencie pre zapísanie do Zoznamu mokradí medzinárodného významu, chrániť aj mokrade regionálneho </w:t>
      </w:r>
      <w:r>
        <w:rPr>
          <w:rFonts w:cs="Tahoma" w:ascii="Tahoma" w:hAnsi="Tahoma"/>
          <w:bCs/>
          <w:i/>
          <w:iCs/>
          <w:sz w:val="18"/>
        </w:rPr>
        <w:t xml:space="preserve">významu, zamedziť poškodzovaniu </w:t>
      </w:r>
      <w:r>
        <w:rPr>
          <w:rFonts w:cs="Tahoma" w:ascii="Tahoma" w:hAnsi="Tahoma"/>
          <w:i/>
          <w:sz w:val="18"/>
        </w:rPr>
        <w:t xml:space="preserve">a </w:t>
      </w:r>
      <w:r>
        <w:rPr>
          <w:rFonts w:cs="Tahoma" w:ascii="Tahoma" w:hAnsi="Tahoma"/>
          <w:bCs/>
          <w:i/>
          <w:iCs/>
          <w:sz w:val="18"/>
        </w:rPr>
        <w:t xml:space="preserve">likvidácii mokradí </w:t>
      </w:r>
      <w:r>
        <w:rPr>
          <w:rFonts w:cs="Tahoma" w:ascii="Tahoma" w:hAnsi="Tahoma"/>
          <w:i/>
          <w:sz w:val="18"/>
        </w:rPr>
        <w:t>lokálneho významu, podporovať obnovu zaniknutých a vytváranie nových mokradí,</w:t>
      </w:r>
    </w:p>
    <w:p>
      <w:pPr>
        <w:pStyle w:val="PlainText"/>
        <w:spacing w:lineRule="atLeast" w:line="26"/>
        <w:ind w:left="851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cs="Tahoma" w:ascii="Tahoma" w:hAnsi="Tahoma"/>
          <w:i/>
          <w:sz w:val="18"/>
        </w:rPr>
        <w:t xml:space="preserve">4.9.9 </w:t>
      </w:r>
      <w:r>
        <w:rPr>
          <w:rFonts w:cs="Tahoma" w:ascii="Tahoma" w:hAnsi="Tahoma"/>
          <w:bCs/>
          <w:i/>
          <w:iCs/>
          <w:sz w:val="18"/>
        </w:rPr>
        <w:t>chránené územia národnej siete a územia sústavy NATURA 2000 prednostne využívať na letnú poznávaciu turistiku a v naviazanosti na terénne danosti územia v prípustnej miere i pre zimné športy a letné vodné športy,</w:t>
      </w:r>
    </w:p>
    <w:p>
      <w:pPr>
        <w:pStyle w:val="PlainText"/>
        <w:spacing w:lineRule="atLeast" w:line="26"/>
        <w:ind w:left="851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cs="Tahoma" w:ascii="Tahoma" w:hAnsi="Tahoma"/>
          <w:bCs/>
          <w:i/>
          <w:iCs/>
          <w:sz w:val="18"/>
        </w:rPr>
        <w:t xml:space="preserve">4.9.11 nevytvárať nové dobývacie priestory v chránených územiach s 3. až 5. stupňom ochrany a v územiach patriacich do sústavy NATURA 2000, </w:t>
      </w:r>
    </w:p>
    <w:p>
      <w:pPr>
        <w:pStyle w:val="PlainText"/>
        <w:spacing w:lineRule="atLeast" w:line="26"/>
        <w:ind w:left="851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cs="Tahoma" w:ascii="Tahoma" w:hAnsi="Tahoma"/>
          <w:bCs/>
          <w:i/>
          <w:iCs/>
          <w:sz w:val="18"/>
        </w:rPr>
        <w:t>4.9.12 zosuvné územia a staré banské diela zohľadňovať pri využívaní územia,</w:t>
      </w:r>
    </w:p>
    <w:p>
      <w:pPr>
        <w:pStyle w:val="PlainText"/>
        <w:spacing w:lineRule="atLeast" w:line="26"/>
        <w:ind w:left="851" w:hanging="0"/>
        <w:rPr>
          <w:rFonts w:ascii="Tahoma" w:hAnsi="Tahoma" w:cs="Tahoma"/>
          <w:bCs/>
          <w:i/>
          <w:i/>
          <w:iCs/>
          <w:sz w:val="18"/>
        </w:rPr>
      </w:pPr>
      <w:r>
        <w:rPr>
          <w:rFonts w:cs="Tahoma" w:ascii="Tahoma" w:hAnsi="Tahoma"/>
          <w:bCs/>
          <w:i/>
          <w:iCs/>
          <w:sz w:val="18"/>
        </w:rPr>
        <w:t>4.9.13 pri umiestňovaní objektov, v ktorých sa nakladá s nebezpečnými látkami a odpadmi, rešpektovať platné právne predpisy a požiadavky vyplývajúce z medzinárodne záväzných dohovorov, smerníc a záväzkov Slovenskej republiky.</w:t>
      </w:r>
    </w:p>
    <w:p>
      <w:pPr>
        <w:pStyle w:val="PlainText"/>
        <w:spacing w:lineRule="atLeast" w:line="26"/>
        <w:rPr>
          <w:rFonts w:ascii="Tahoma" w:hAnsi="Tahoma" w:cs="Tahoma"/>
          <w:bCs/>
          <w:i/>
          <w:i/>
          <w:iCs/>
          <w:sz w:val="18"/>
        </w:rPr>
      </w:pPr>
      <w:r>
        <w:rPr>
          <w:rFonts w:cs="Tahoma" w:ascii="Tahoma" w:hAnsi="Tahoma"/>
          <w:bCs/>
          <w:i/>
          <w:iCs/>
          <w:sz w:val="18"/>
        </w:rPr>
      </w:r>
    </w:p>
    <w:p>
      <w:pPr>
        <w:pStyle w:val="PlainText"/>
        <w:spacing w:lineRule="atLeast" w:line="26"/>
        <w:ind w:firstLine="284"/>
        <w:rPr>
          <w:rFonts w:ascii="Tahoma" w:hAnsi="Tahoma"/>
          <w:b/>
          <w:b/>
          <w:sz w:val="18"/>
        </w:rPr>
      </w:pPr>
      <w:r>
        <w:rPr>
          <w:rFonts w:ascii="Tahoma" w:hAnsi="Tahoma"/>
          <w:b/>
          <w:sz w:val="18"/>
        </w:rPr>
        <w:t>5. V oblasti dopravy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5.1 </w:t>
      </w:r>
      <w:r>
        <w:rPr>
          <w:rFonts w:ascii="Tahoma" w:hAnsi="Tahoma"/>
          <w:bCs/>
          <w:i/>
          <w:sz w:val="18"/>
        </w:rPr>
        <w:t>v oblasti nadradeného dopravného vybavenia,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5.1.6 </w:t>
      </w:r>
      <w:r>
        <w:rPr>
          <w:rFonts w:ascii="Tahoma" w:hAnsi="Tahoma"/>
          <w:bCs/>
          <w:i/>
          <w:sz w:val="18"/>
        </w:rPr>
        <w:t>rešpektovať hlavné dopravné siete v rámci medzinárodnej turistickej dopravy – cestné komunikácie,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5.1.6.1  východná severo-južná trasa hranica PR – Podspády – Spišská Belá – Kežmarok – Poprad – Vernár – hranica Košického kraja s vylúčením nákladnej tranzitnej dopravy nad 7,5t v úseku Tatranská Javorina - Podspády – Spišská Belá,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5.1.7  rešpektovať dopravné siete v rámci celoštátnej úrovne – cestné komunikácie: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5.1.7.3 Poprad – Spišská Belá – Stará Ľubovňa – Mníšek nad Popradom – hranica PR,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5.1.8  rešpektovať dopravné siete nadregionálnej úrovne – železničné trate: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5.1.8.1 Poprad – Plaveč,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5.3 chrániť koridory ciest I., II. a vybraných úsekov III. triedy, ich preložiek a úprav vrátane prejazdných úsekov dotknutými sídlami na</w:t>
      </w:r>
    </w:p>
    <w:p>
      <w:pPr>
        <w:pStyle w:val="PlainText"/>
        <w:spacing w:lineRule="atLeast" w:line="26"/>
        <w:ind w:left="851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5.3.5 ceste I/77:</w:t>
      </w:r>
    </w:p>
    <w:p>
      <w:pPr>
        <w:pStyle w:val="PlainText"/>
        <w:spacing w:lineRule="atLeast" w:line="26"/>
        <w:ind w:left="1418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5.3.5.1  v úseku Spišská Belá - Podolínec - Stará Ľubovňa s územnou rezervou na obchvaty sídiel Bušovce (v spoločnej trase s obchvatom mesta Spišská Belá), Podolínec, Nižné Ružbachy a Hniezdne,</w:t>
      </w:r>
    </w:p>
    <w:p>
      <w:pPr>
        <w:pStyle w:val="PlainText"/>
        <w:spacing w:lineRule="atLeast" w:line="26"/>
        <w:ind w:left="1418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5.3.43  ostatných cestách III. triedy z dôvodu ich rekonštrukcie,</w:t>
      </w:r>
    </w:p>
    <w:p>
      <w:pPr>
        <w:pStyle w:val="Normal"/>
        <w:rPr>
          <w:i/>
          <w:i/>
          <w:sz w:val="18"/>
        </w:rPr>
      </w:pPr>
      <w:r>
        <w:rPr>
          <w:i/>
          <w:sz w:val="18"/>
        </w:rPr>
      </w:r>
      <w:r>
        <w:br w:type="page"/>
      </w:r>
    </w:p>
    <w:p>
      <w:pPr>
        <w:pStyle w:val="PlainText"/>
        <w:spacing w:lineRule="atLeast" w:line="26"/>
        <w:ind w:left="284" w:hanging="0"/>
        <w:rPr>
          <w:rFonts w:ascii="Tahoma" w:hAnsi="Tahoma"/>
          <w:b/>
          <w:b/>
          <w:sz w:val="18"/>
        </w:rPr>
      </w:pPr>
      <w:r>
        <w:rPr>
          <w:rFonts w:ascii="Tahoma" w:hAnsi="Tahoma"/>
          <w:b/>
          <w:sz w:val="18"/>
        </w:rPr>
        <w:t>6. V oblasti vodného hospodárstva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6.1 v záujme zabezpečenia zdrojov pitnej vody</w:t>
      </w:r>
    </w:p>
    <w:p>
      <w:pPr>
        <w:pStyle w:val="PlainText"/>
        <w:spacing w:lineRule="atLeast" w:line="26"/>
        <w:ind w:left="851" w:hanging="1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6.1.1 </w:t>
      </w:r>
      <w:r>
        <w:rPr>
          <w:rFonts w:ascii="Tahoma" w:hAnsi="Tahoma"/>
          <w:bCs/>
          <w:i/>
          <w:sz w:val="18"/>
        </w:rPr>
        <w:t>chrániť a využívať  existujúce a zdokumentované zdroje pitnej vody s cieľom  zvyšovať podiel  zásobovaných obyvateľov pitnou vodou z verejných vodovodov,</w:t>
      </w:r>
    </w:p>
    <w:p>
      <w:pPr>
        <w:pStyle w:val="PlainText"/>
        <w:spacing w:lineRule="atLeast" w:line="26"/>
        <w:ind w:left="851" w:hanging="1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6.1.2 zabezpečiť ochranu záujmových území veľkokapacitných vodných zdrojov (VVZ) Tichý Potok</w:t>
      </w:r>
    </w:p>
    <w:p>
      <w:pPr>
        <w:pStyle w:val="PlainText"/>
        <w:spacing w:lineRule="atLeast" w:line="26"/>
        <w:ind w:left="851" w:hanging="1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6.1.3 zvyšovať podiel  využívania úžitkovej vody  pri  celkovej spotrebe vody v priemysle, poľnohospodárstve, vybavenosti a pri spotrebe na bývanie,</w:t>
      </w:r>
    </w:p>
    <w:p>
      <w:pPr>
        <w:pStyle w:val="PlainText"/>
        <w:spacing w:lineRule="atLeast" w:line="26"/>
        <w:ind w:left="851" w:hanging="1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6.1.4 zavádzať opatrenia na znižovanie strát vody,</w:t>
      </w:r>
    </w:p>
    <w:p>
      <w:pPr>
        <w:pStyle w:val="Normal"/>
        <w:tabs>
          <w:tab w:val="left" w:pos="7560" w:leader="none"/>
        </w:tabs>
        <w:ind w:left="851" w:hanging="0"/>
        <w:rPr>
          <w:rFonts w:cs="Tahoma"/>
          <w:i/>
          <w:i/>
          <w:sz w:val="18"/>
          <w:szCs w:val="18"/>
        </w:rPr>
      </w:pPr>
      <w:r>
        <w:rPr>
          <w:rFonts w:cs="Tahoma"/>
          <w:bCs/>
          <w:i/>
          <w:sz w:val="18"/>
          <w:szCs w:val="18"/>
        </w:rPr>
        <w:t xml:space="preserve">6.1.5 </w:t>
      </w:r>
      <w:r>
        <w:rPr>
          <w:rFonts w:cs="Tahoma"/>
          <w:i/>
          <w:sz w:val="18"/>
          <w:szCs w:val="18"/>
        </w:rPr>
        <w:t>od plošne veľkých stavebných objektov a spevnených plôch riešiť samostatné odvedenie dažďových vôd a nezaťažovať tak čistiarne odpadových vôd, presadzovať technické riešenia na aspoň čiastočné, resp. sezónne zadržanie týchto vôd v riešených lokalitách pre zlepšenie mikroklímy okolitého prostredia,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6.2 chrániť priestory na líniové stavby</w:t>
      </w:r>
    </w:p>
    <w:p>
      <w:pPr>
        <w:pStyle w:val="PlainText"/>
        <w:spacing w:lineRule="atLeast" w:line="26"/>
        <w:ind w:left="851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6.2.3 v oblasti skupinových vodovodov na</w:t>
      </w:r>
    </w:p>
    <w:p>
      <w:pPr>
        <w:pStyle w:val="PlainText"/>
        <w:spacing w:lineRule="atLeast" w:line="26"/>
        <w:ind w:left="1418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6.2.3.26  rezervovať plochy a chrániť koridory pre plánované samostatné a skupinové vodovody v</w:t>
      </w:r>
    </w:p>
    <w:p>
      <w:pPr>
        <w:pStyle w:val="PlainText"/>
        <w:spacing w:lineRule="atLeast" w:line="26"/>
        <w:ind w:left="1418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ostatných obciach Prešovského kraja napojené na verejné zdroje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6.2.3.27 </w:t>
      </w:r>
      <w:r>
        <w:rPr>
          <w:rFonts w:ascii="Tahoma" w:hAnsi="Tahoma"/>
          <w:bCs/>
          <w:i/>
          <w:sz w:val="18"/>
        </w:rPr>
        <w:t>zabezpečiť hydrogeologické prieskumy pre zistenie zdrojov podzemnej vody využívanej na pitné   účely na  celom území,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6.2.3.28 zriadiť nové vodné zdroje pre obce odľahlé od hlavných trás vodárenských sústav (vodovodných rozvodných potrubí),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6.2.3.29 rezervovať plochy a chrániť koridory pre stavby skupinových vodovodov a vodovodov zo zdrojov obcí,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6.3 </w:t>
      </w:r>
      <w:r>
        <w:rPr>
          <w:rFonts w:ascii="Tahoma" w:hAnsi="Tahoma"/>
          <w:bCs/>
          <w:i/>
          <w:sz w:val="18"/>
        </w:rPr>
        <w:t>rezervovať plochy a chrániť koridory (kanalizácie)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6.3.1 pre stavby kanalizácií, skupinových kanalizácií a čistiarní odpadových vôd. Prednostne realizovať kanalizačné siete v sídlach ležiacich v pásmach ochrany využívaných zdrojov pitnej vody, v ochranných pásmach minerálnych a liečivých vôd. Výstavbu kanalizačných sietí ako verejnoprospešných stavieb konkretizovať v územnom pláne obce,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6.3.2 zabezpečiť  kvalitu  vypúšťania vyčistených odpadových vôd v zmysle požiadaviek stanovených  s vyhláškou č.491/2002 Z.z., súčasne platným nariadením vlády SR č. 296/2005 Z. z.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6.3.3  zabezpečiť postupné znižovanie zaostávania rozvoja verejných kanalizácií za rozvojom verejných vodovodov,</w:t>
      </w:r>
    </w:p>
    <w:p>
      <w:pPr>
        <w:pStyle w:val="PlainText"/>
        <w:spacing w:lineRule="atLeast" w:line="26"/>
        <w:ind w:left="851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bCs/>
          <w:i/>
          <w:sz w:val="18"/>
        </w:rPr>
        <w:t>6.3.4  v rozhodovacom procese posudzovať investičnú a ekonomickú náročnosť navrhovaných kanalizačných sústav a čistiarní odpadových vôd z dôvodu optimalizácie prevádzkových nákladov pre pripojených užívateľov,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6.4 </w:t>
      </w:r>
      <w:r>
        <w:rPr>
          <w:rFonts w:ascii="Tahoma" w:hAnsi="Tahoma"/>
          <w:bCs/>
          <w:i/>
          <w:sz w:val="18"/>
        </w:rPr>
        <w:t>rezervovať priestory na vybudovanie  kanalizačných systémov, (kanalizácia + ČOV ),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6.4.1 realizovať výstavbu kanalizácií a ČOV obcí,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6.4.4 intenzifikovať a modernizovať zariadenia na  čistenie odpadových vôd  pre technologické        prevádzky priemyslu a poľnohospodárstva,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6.5 </w:t>
      </w:r>
      <w:r>
        <w:rPr>
          <w:rFonts w:ascii="Tahoma" w:hAnsi="Tahoma"/>
          <w:bCs/>
          <w:i/>
          <w:sz w:val="18"/>
        </w:rPr>
        <w:t>vodné toky, meliorácie, nádrže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6.5.1 na tokoch, kde nie sú usporiadané odtokové pomery, komplexne revitalizovať vodné toky         s protipovodňovými opatreniami, so zohľadnením ekologických záujmov a dôrazom na ochranu intravilánov obcí pred povodňami,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6.5.2 na upravených úsekoch tokov vykonávať údržbu s cieľom udržiavať vybudované kapacity,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6.5.3 s cieľom zlepšiť kvalitu povrchových vôd a chrániť podzemné vody realizovať výstavbu nových kanalizácií a čistiarní odpadových vôd a rozšírenie a intenzifikáciu existujúcich ČOV a rekonštrukciu existujúcich kanalizačných sietí,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6.5.4 zlepšovať vodohospodárske pomery na malých vodných tokoch v povodí zásahmi smerujúcimi k stabilizácii vodohospodárskych pomerov za extrémnych situácií počas povodní aj v období sucha, pri úpravách tokov využívať vhodné plochy na výstavbu poldrov s cieľom zachytávať povodňové prietoky,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6.5.5 zabezpečiť likvidáciu povodňových škôd z predchádzajúcich rokov a budovať primerané protipovodňové opatrenia s dôrazom na ochranu zastaveného územia miest a obcí a  ochranu pred veľkými prietokmi (úpravy tokov, ochranné hrádze a poldre),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6.5.6 venovať pozornosť úsekom bystrinných tokov v horských a podhorských oblastiach, na ktorých treba budovať prehrádzky s cieľom znížiť eróziu a zanášanie tokov pri povodňových stavoch bez narušenia biotopu,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6.5.7 vykonať protierózne opatrenia na priľahlej poľnohospodárskej pôde a lesnom pôdnom fonde,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6.5.8 v rámci revitalizácie tokov zachovať priaznivé životné podmienky pre ryby, zoobentos a fytobentos,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6.5.14 vytvárať priestory v území pre výstavbu rybníkov a účelových vodných nádrží,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6.5.18 Vylúčiť akúkoľvek navrhovanú výstavbu v inundačných územiach vodných tokov v zmysle zákona o ochrane pred povodňami.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6.5.19 vo vhodných lokalitách zriaďovať menšie viacúčelové vodné nádrže a prehrádzky a podporovať obnovenie zaniknutých vodných plôch, s vhodným spôsobom zachytenia a využitia dažďovej vody z povrchového odtoku zo spevnených plôch novej zástavby priamo na mieste, prípadne vhodný spôsob infiltrácie dažďovej vody tak, aby odtok z daného územia do recipientu nebol zvýšený voči stavu pred realizáciou prípadnej zástavby a aby nebola zhoršená kvalita vody v recipiente,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6.5.22  dobudovanie Belianskeho skupinového vodovodu Výborná – Vojňany – Podhorany - Toporec – Bušovce – Spišská Bela – Krížová Ves s napojením rómskych osád.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284" w:hanging="0"/>
        <w:rPr>
          <w:rFonts w:ascii="Tahoma" w:hAnsi="Tahoma"/>
          <w:b/>
          <w:b/>
          <w:sz w:val="18"/>
        </w:rPr>
      </w:pPr>
      <w:r>
        <w:rPr>
          <w:rFonts w:ascii="Tahoma" w:hAnsi="Tahoma"/>
          <w:b/>
          <w:sz w:val="18"/>
        </w:rPr>
        <w:t xml:space="preserve">7. </w:t>
      </w:r>
      <w:r>
        <w:rPr>
          <w:rFonts w:ascii="Tahoma" w:hAnsi="Tahoma"/>
          <w:b/>
          <w:bCs/>
          <w:sz w:val="18"/>
        </w:rPr>
        <w:t>V oblasti zásobovania plynom a energiou, telekomunikácie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7.3. </w:t>
      </w:r>
      <w:r>
        <w:rPr>
          <w:rFonts w:ascii="Tahoma" w:hAnsi="Tahoma"/>
          <w:bCs/>
          <w:i/>
          <w:sz w:val="18"/>
        </w:rPr>
        <w:t>v oblasti využívania obnoviteľných energetických zdrojov,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7.3.1 podporovať výstavbu zdrojov energie využívajúcich obnoviteľné zdroje a pri ich umiestňovaní  vychádzať z ekonomickej, sociálnej a environmentálnej únosnosti územia v súčinnosti s hodnotami a limitami kultúrno-historického potenciálu územia, historického stavebného fondu so zohľadňovaním špecifík jednotlivých subregiónov.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7.3.4 neumiestňovať veterné parky a veterné elektrárne: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7.3.4.1 v územiach s 3., 4.  a 5. stupňom ochrany, vyhlásených CHKO a v navrhovaných a vyhlásených územiach sústavy  NATURA 2000 a v ich ochranných pásmach a v  hrebeňových častiach pohorí,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7.3.4.2 v biocentrách a biokoridoroch ÚSES na regionálnej a nadregionálnej úrovni,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7.3.4.3 v okolí vodných tokov a vodných plôch v šírke min. 100 m, v okolí regionálnych biokoridorov min. 100 m, pri nadregionálnych hydrických biokoridoroch min. 200 m (odstupové vzdialenosti na konkrétnej lokalite VE spresní ornitológ v procese EIA),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7.3.4.4 v okolí turistických centier regionálneho a nadregionálneho významu vo vzdialenosti min. 1000 m,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7.3.4.5 </w:t>
      </w:r>
      <w:r>
        <w:rPr>
          <w:rFonts w:ascii="Tahoma" w:hAnsi="Tahoma"/>
          <w:bCs/>
          <w:i/>
          <w:sz w:val="18"/>
        </w:rPr>
        <w:t>v krajinársky hodnotných lokalitách, významných pohľadových osiach, vizuálne exponovaných lokalitách,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7.3.4.7 v ucelených lesných komplexoch,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7.3.4.8 v evidovaných archeologických lokalitách s potenciálom na vyhlásenie za nehnuteľnú kultúrnu pamiatku,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7.3.4.9 vo vyhlásených tichých oblastiach v otvorenej krajine,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7.3.5 neumiestňovať pestovanie monokultúr rýchlorastúcich energetických drevín a energetických rastlín biomasy: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7.3.5.2 v navrhovaných a vyhlásených  územiach európskeho významu sústavy  NATURA 2000,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7.4. </w:t>
      </w:r>
      <w:r>
        <w:rPr>
          <w:rFonts w:ascii="Tahoma" w:hAnsi="Tahoma"/>
          <w:bCs/>
          <w:i/>
          <w:sz w:val="18"/>
        </w:rPr>
        <w:t>v oblasti telekomunikácii a informačnej infraštruktúry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7.4.1 vytvárať podmienky na rozvoj globálnej informačnej spoločnosti na území Prešovského kraja skvalitňovaním infraštruktúry informačných systémov.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7.4.2 z dôvodov, aby nedochádzalo k poškodzovaniu infraštruktúry informačných systémov je potrebné, aby investori konkrétnych stavieb požiadali pred vydaním územného rozhodnutia a stavebného povolenia o stanovisko operátorov jednotlivých pevných a mobilných telekomunikačných sieti o existencií jestvujúcich podzemných telekomunikačných vedení.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284" w:hanging="0"/>
        <w:rPr>
          <w:rFonts w:ascii="Tahoma" w:hAnsi="Tahoma"/>
          <w:b/>
          <w:b/>
          <w:sz w:val="18"/>
        </w:rPr>
      </w:pPr>
      <w:r>
        <w:rPr>
          <w:rFonts w:ascii="Tahoma" w:hAnsi="Tahoma"/>
          <w:b/>
          <w:sz w:val="18"/>
        </w:rPr>
        <w:t xml:space="preserve">8. </w:t>
      </w:r>
      <w:r>
        <w:rPr>
          <w:rFonts w:ascii="Tahoma" w:hAnsi="Tahoma"/>
          <w:b/>
          <w:bCs/>
          <w:sz w:val="18"/>
        </w:rPr>
        <w:t>V oblasti hospodárstva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8.1. </w:t>
      </w:r>
      <w:r>
        <w:rPr>
          <w:rFonts w:ascii="Tahoma" w:hAnsi="Tahoma"/>
          <w:bCs/>
          <w:i/>
          <w:sz w:val="18"/>
        </w:rPr>
        <w:t>v oblasti hospodárstva a regionálneho rozvoja,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8.1.2 rozvíjať decentralizovanú štruktúru ekonomiky prostredníctvom vytvorenej polycentrickej sústavy  mestského osídlenia, a tým zabezpečovať aj vyváženú sociálno-ekonomickú úroveň subregiónov,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8.1.3 diverzifikovať odvetvovú ekonomickú základňu obcí a miest, podporovať v záujme trvalej    udržateľnosti malé a stredné podnikanie,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8.1.4 zabezpečovať rozvoj a skvalitnenie infraštruktúry komunikačných systémov,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8.1.5 vytvárať územnotechnické podmienky na rovnomerné rozmiestnenie obyvateľstva s vyššou kvalifikáciou,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8.1.6 Pri umiestňovaní nových priemyselných zón, areálov a objektov rešpektovať záujmy a rozvojové  koncepcie existujúcich prevádzok.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8.1.7 Vylúčiť umiestnenie prevádzok a zariadení s potencionálne negatívnym dopadom na senzitívne výroby.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8.2. </w:t>
      </w:r>
      <w:r>
        <w:rPr>
          <w:rFonts w:ascii="Tahoma" w:hAnsi="Tahoma"/>
          <w:bCs/>
          <w:i/>
          <w:sz w:val="18"/>
        </w:rPr>
        <w:t>v oblasti priemyslu a stavebníctva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8.2.4 podporovať v územnom rozvoji regiónu rekonštrukciu a sanáciu využitie existujúcich priemyselných areálov a areálov bývalých hospodárskych dvorov (hnedé plochy) pre účely zriadenia priemyselných zón a  priemyselných parkov na  základe zhodnotenia ich externých a interných lokalizačných faktorov,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8.2.6 podporovať rozvoj tradičnej remeselnej výroby, doplnkové výroby a nevýrobné činnosti podporujúce rozvoj vidieka,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8.3. </w:t>
      </w:r>
      <w:r>
        <w:rPr>
          <w:rFonts w:ascii="Tahoma" w:hAnsi="Tahoma"/>
          <w:bCs/>
          <w:i/>
          <w:sz w:val="18"/>
        </w:rPr>
        <w:t>v oblasti poľnohospodárstva a lesného hospodárstva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8.3.1 podporovať diverzifikáciu poľnohospodárskej produkcie a formy obhospodarovania pôdy na základe    rôznorodosti produkčného  potenciálu územia a klimatických podmienok,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8.3.2 podporovať alternatívne poľnohospodárstvo v chránených územiach, v pásmach hygienickej ochrany    a v územiach začlenených do územného systému ekologickej stability,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8.3.3 zabezpečiť protieróznu ochranu poľnohospodárskej pôdy s využitím vegetácie v rámci    riešenia projektov pozemkových úprav a agrotechnickými opatreniami zameranými na optimalizáciu štruktúry pestovaných plodín v nadväznosti na prvky územného systému ekologickej stability,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8.3.5 neproduktívne a nevyužiteľné poľnohospodárske pozemky zalesňovať a pri zalesňovaní využívať  pôvodné   (domáce) druhy drevín,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8.3.6 podporovať extenzívne leso-pasienkarske využívanie podhorských častí s cieľom zachovať krajinárske a ekologicky hodnotné územia s rozptýlenou vegetáciou,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8.3.7 podporovať doplnkové formy podnikania na báze tradičných remesiel ako využitie surovín z produkcie poľnohospodárskej a lesnej výroby vo vidieckych sídlach s voľnou pracovnou silou, s cieľom znížiť hospodársku depresiu najmä v oblastiach s vyšším stupňom ochrany prírody,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8.4. </w:t>
      </w:r>
      <w:r>
        <w:rPr>
          <w:rFonts w:ascii="Tahoma" w:hAnsi="Tahoma"/>
          <w:bCs/>
          <w:i/>
          <w:sz w:val="18"/>
          <w:lang w:val="cs-CZ"/>
        </w:rPr>
        <w:t>v oblasti odpadového hospodárstva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8.4.1 nakladanie s odpadmi na území kraja riešiť len v súlade so schváleným Programom odpadového hospodárstva SR, Prešovského kraja a jeho okresov,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  <w:lang w:val="cs-CZ"/>
        </w:rPr>
      </w:pPr>
      <w:r>
        <w:rPr>
          <w:rFonts w:ascii="Tahoma" w:hAnsi="Tahoma"/>
          <w:bCs/>
          <w:i/>
          <w:sz w:val="18"/>
        </w:rPr>
        <w:t>8.4.2 uprednostňovať v odpadovom hospodárstve minimalizáciu odpadov, zvýšiť účinnosť separovaného  zberu a zhodnocovanie odpadov s využitím ekonomických nástrojov a legislatívnych opatrení</w:t>
      </w:r>
      <w:r>
        <w:rPr>
          <w:rFonts w:ascii="Tahoma" w:hAnsi="Tahoma"/>
          <w:bCs/>
          <w:i/>
          <w:sz w:val="18"/>
          <w:lang w:val="cs-CZ"/>
        </w:rPr>
        <w:t>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  <w:lang w:val="cs-CZ"/>
        </w:rPr>
      </w:pPr>
      <w:r>
        <w:rPr>
          <w:rFonts w:ascii="Tahoma" w:hAnsi="Tahoma"/>
          <w:bCs/>
          <w:i/>
          <w:sz w:val="18"/>
          <w:lang w:val="cs-CZ"/>
        </w:rPr>
        <w:t xml:space="preserve">8.4.3 </w:t>
      </w:r>
      <w:r>
        <w:rPr>
          <w:rFonts w:ascii="Tahoma" w:hAnsi="Tahoma"/>
          <w:bCs/>
          <w:i/>
          <w:sz w:val="18"/>
        </w:rPr>
        <w:t>riešiť s výhľadom do budúcnosti zneškodňovanie odpadov v kraji na skládkach vyhovujúcich   technickým  podmienkam, s orientáciou na existujúce a plánované regionálne skládky</w:t>
      </w:r>
      <w:r>
        <w:rPr>
          <w:rFonts w:ascii="Tahoma" w:hAnsi="Tahoma"/>
          <w:bCs/>
          <w:i/>
          <w:sz w:val="18"/>
          <w:lang w:val="cs-CZ"/>
        </w:rPr>
        <w:t>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  <w:lang w:val="cs-CZ"/>
        </w:rPr>
        <w:t xml:space="preserve">8.4.4 </w:t>
      </w:r>
      <w:r>
        <w:rPr>
          <w:rFonts w:ascii="Tahoma" w:hAnsi="Tahoma"/>
          <w:bCs/>
          <w:i/>
          <w:sz w:val="18"/>
        </w:rPr>
        <w:t>vybudovať zberné strediská pre nebezpečné odpady a problémové látky vrátane ich kontajnerizácie,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8.4.6 zabezpečiť postupnú sanáciu, resp. rekultiváciu uzatvorených skládok odpadu a starých environmentálnych záťaží,,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8.4.7 sanovať prednostne skládky lokalizované v územiach prvkov regionálneho územného systému ekologickej   stability a v územiach, kde bezprostredne ohrozujú životné prostredie a podzemné vody,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  <w:lang w:val="cs-CZ"/>
        </w:rPr>
      </w:pPr>
      <w:r>
        <w:rPr>
          <w:rFonts w:ascii="Tahoma" w:hAnsi="Tahoma"/>
          <w:bCs/>
          <w:i/>
          <w:sz w:val="18"/>
        </w:rPr>
        <w:t>8.4.9 podporovať výstavbu zariadení na dotrieďovanie, zhodnotenie, kompostovanie odpadov a zneškodňovanie odpadov v obciach</w:t>
      </w:r>
      <w:r>
        <w:rPr>
          <w:rFonts w:ascii="Tahoma" w:hAnsi="Tahoma"/>
          <w:bCs/>
          <w:i/>
          <w:sz w:val="18"/>
          <w:lang w:val="cs-CZ"/>
        </w:rPr>
        <w:t>,</w:t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</w:p>
    <w:p>
      <w:pPr>
        <w:pStyle w:val="PlainText"/>
        <w:spacing w:lineRule="atLeast" w:line="26"/>
        <w:ind w:left="1418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</w:r>
      <w:r>
        <w:br w:type="page"/>
      </w:r>
    </w:p>
    <w:p>
      <w:pPr>
        <w:pStyle w:val="PlainText"/>
        <w:spacing w:lineRule="atLeast" w:line="26"/>
        <w:rPr>
          <w:rFonts w:ascii="Tahoma" w:hAnsi="Tahoma"/>
          <w:b/>
          <w:b/>
          <w:i/>
          <w:i/>
          <w:smallCaps/>
          <w:sz w:val="22"/>
        </w:rPr>
      </w:pPr>
      <w:r>
        <w:rPr>
          <w:rFonts w:ascii="Tahoma" w:hAnsi="Tahoma"/>
          <w:b/>
          <w:i/>
          <w:smallCaps/>
          <w:sz w:val="22"/>
        </w:rPr>
        <w:t>II. Verejnoprospešné stavby</w:t>
      </w:r>
    </w:p>
    <w:p>
      <w:pPr>
        <w:pStyle w:val="PlainText"/>
        <w:spacing w:lineRule="atLeast" w:line="26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Verejnoprospešné stavby spojené s realizáciou uvedených záväzných regulatívov sú tieto:</w:t>
      </w:r>
    </w:p>
    <w:p>
      <w:pPr>
        <w:pStyle w:val="PlainText"/>
        <w:spacing w:lineRule="atLeast" w:line="26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</w:r>
    </w:p>
    <w:p>
      <w:pPr>
        <w:pStyle w:val="PlainText"/>
        <w:spacing w:lineRule="atLeast" w:line="26"/>
        <w:ind w:left="284" w:hanging="0"/>
        <w:rPr>
          <w:rFonts w:ascii="Tahoma" w:hAnsi="Tahoma"/>
          <w:b/>
          <w:b/>
          <w:i/>
          <w:i/>
          <w:sz w:val="18"/>
        </w:rPr>
      </w:pPr>
      <w:r>
        <w:rPr>
          <w:rFonts w:ascii="Tahoma" w:hAnsi="Tahoma"/>
          <w:b/>
          <w:i/>
          <w:sz w:val="18"/>
        </w:rPr>
        <w:t>1. v oblasti dopravy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1.2 stavby nadradenej cestnej siete pre</w:t>
      </w:r>
    </w:p>
    <w:p>
      <w:pPr>
        <w:pStyle w:val="PlainText"/>
        <w:spacing w:lineRule="atLeast" w:line="26"/>
        <w:ind w:left="1276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1.2.1 medzinárodný cestný ťah E 50 v trase cesty I/18 Žilina - Poprad - Prešov,</w:t>
      </w:r>
    </w:p>
    <w:p>
      <w:pPr>
        <w:pStyle w:val="PlainText"/>
        <w:spacing w:lineRule="atLeast" w:line="26"/>
        <w:ind w:left="1276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1.2.8 cestu I/77</w:t>
      </w:r>
    </w:p>
    <w:p>
      <w:pPr>
        <w:pStyle w:val="PlainText"/>
        <w:spacing w:lineRule="atLeast" w:line="26"/>
        <w:ind w:left="1560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 xml:space="preserve">a) </w:t>
      </w:r>
      <w:r>
        <w:rPr>
          <w:rFonts w:ascii="Tahoma" w:hAnsi="Tahoma"/>
          <w:bCs/>
          <w:i/>
          <w:sz w:val="18"/>
        </w:rPr>
        <w:t>v úseku Spišská Belá - Podolinec - Stará Ľubovňa - s územnou rezervou na obchvaty sídiel Bušovce, (v spoločnej trase s obchvatom mesta Spišská Belá), Podolinec, Nižné Ružbachy a Hniezdne, v kategórii C 11,5/80,70,</w:t>
      </w:r>
    </w:p>
    <w:p>
      <w:pPr>
        <w:pStyle w:val="PlainText"/>
        <w:spacing w:lineRule="atLeast" w:line="26"/>
        <w:ind w:left="284" w:hanging="0"/>
        <w:rPr>
          <w:rFonts w:ascii="Tahoma" w:hAnsi="Tahoma"/>
          <w:b/>
          <w:b/>
          <w:i/>
          <w:i/>
          <w:sz w:val="18"/>
        </w:rPr>
      </w:pPr>
      <w:r>
        <w:rPr>
          <w:rFonts w:ascii="Tahoma" w:hAnsi="Tahoma"/>
          <w:b/>
          <w:i/>
          <w:sz w:val="18"/>
        </w:rPr>
        <w:t>2. V oblasti vodného hospodárstva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2.1 pre navrhované veľkokapacitné vodné zdroje – povrchové zdroje a ich ochranné pásma:</w:t>
      </w:r>
    </w:p>
    <w:p>
      <w:pPr>
        <w:pStyle w:val="PlainText"/>
        <w:spacing w:lineRule="atLeast" w:line="26"/>
        <w:ind w:left="1276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2.1.1  zdroj vody Tichý Potok (okres Sabinov),</w:t>
      </w:r>
    </w:p>
    <w:p>
      <w:pPr>
        <w:pStyle w:val="PlainText"/>
        <w:spacing w:lineRule="atLeast" w:line="26"/>
        <w:ind w:left="1276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2.1.3 zdroj vody Jakubany (okres Stará Ľubovňa),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</w:r>
    </w:p>
    <w:p>
      <w:pPr>
        <w:pStyle w:val="PlainText"/>
        <w:spacing w:lineRule="atLeast" w:line="26"/>
        <w:ind w:left="1276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2.2.1 </w:t>
      </w:r>
      <w:r>
        <w:rPr>
          <w:rFonts w:ascii="Tahoma" w:hAnsi="Tahoma"/>
          <w:bCs/>
          <w:i/>
          <w:sz w:val="18"/>
        </w:rPr>
        <w:t>stavby pre úpravu a revitalizáciu vodných tokov, meliorácií a nádrží,</w:t>
      </w:r>
    </w:p>
    <w:p>
      <w:pPr>
        <w:pStyle w:val="PlainText"/>
        <w:spacing w:lineRule="atLeast" w:line="26"/>
        <w:ind w:left="1276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2.2.1.1 stavby protipovodňových ochranných hrádzí a úpravy profilu koryta,</w:t>
      </w:r>
    </w:p>
    <w:p>
      <w:pPr>
        <w:pStyle w:val="PlainText"/>
        <w:spacing w:lineRule="atLeast" w:line="26"/>
        <w:ind w:left="1276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2.2.1.2 poldre, zdrže, prehrádzky a malé viacúčelové vodné nádrže pre stabilizáciu prietoku,</w:t>
      </w:r>
    </w:p>
    <w:p>
      <w:pPr>
        <w:pStyle w:val="PlainText"/>
        <w:spacing w:lineRule="atLeast" w:line="26"/>
        <w:ind w:left="1276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bCs/>
          <w:i/>
          <w:sz w:val="18"/>
        </w:rPr>
        <w:t>2.2.1.4 stavby viacúčelových vodných plôch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2.4 pre skupinové vodovody:</w:t>
      </w:r>
    </w:p>
    <w:p>
      <w:pPr>
        <w:pStyle w:val="PlainText"/>
        <w:spacing w:lineRule="atLeast" w:line="26"/>
        <w:ind w:left="1276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2.4.40  samostatné a skupinové vodovody v ostatných obciach Prešovského kraja napojené na verejné zdroje,</w:t>
      </w:r>
    </w:p>
    <w:p>
      <w:pPr>
        <w:pStyle w:val="PlainText"/>
        <w:spacing w:lineRule="atLeast" w:line="26"/>
        <w:ind w:left="1276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2.4.41  samostatné a skupinové vodovody v ostatných obciach s využitím lokálnych zdrojov,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2.5 stavby kanalizácii, skupinových kanalizácii a čistiarni odpadových vôd </w:t>
      </w:r>
      <w:r>
        <w:rPr>
          <w:rFonts w:ascii="Tahoma" w:hAnsi="Tahoma"/>
          <w:bCs/>
          <w:i/>
          <w:sz w:val="18"/>
        </w:rPr>
        <w:t>v obciach Prešovského kraja,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2.7 dobudovanie Belianskeho skupinového vodovodu Výborna – Vojňany – Podhorany - Toporec – Bušovce – Spišská Bela – Krížová Ves s napojením rómskych osád,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2.8 stavby pre úpravu a revitalizáciu vodných tokov, meliorácií a nádrží,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2.9 stavby protipovodňových ochranných hrádzí a úpravy profilu koryta,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2.10 poldre, zdrže, prehrádzky a malé viacúčelové vodné nádrže pre stabilizáciu prietoku,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2.11 stavby viacúčelových vodných plôch,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2.13 požiarne nádrže v obciach.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</w:r>
    </w:p>
    <w:p>
      <w:pPr>
        <w:pStyle w:val="PlainText"/>
        <w:spacing w:lineRule="atLeast" w:line="26"/>
        <w:ind w:firstLine="284"/>
        <w:rPr>
          <w:rFonts w:ascii="Tahoma" w:hAnsi="Tahoma"/>
          <w:b/>
          <w:b/>
          <w:i/>
          <w:i/>
          <w:sz w:val="18"/>
        </w:rPr>
      </w:pPr>
      <w:r>
        <w:rPr>
          <w:rFonts w:ascii="Tahoma" w:hAnsi="Tahoma"/>
          <w:b/>
          <w:i/>
          <w:sz w:val="18"/>
        </w:rPr>
        <w:t>5. V oblasti telekomunikácií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5.1 </w:t>
      </w:r>
      <w:r>
        <w:rPr>
          <w:rFonts w:ascii="Tahoma" w:hAnsi="Tahoma"/>
          <w:bCs/>
          <w:i/>
          <w:sz w:val="18"/>
        </w:rPr>
        <w:t>stavby pre prenos terestriálneho a káblového signálu a stavby sietí informačnej sústavy, a ich  ochranné  pásma.</w:t>
      </w:r>
    </w:p>
    <w:p>
      <w:pPr>
        <w:pStyle w:val="PlainText"/>
        <w:spacing w:lineRule="atLeast" w:line="26"/>
        <w:ind w:firstLine="284"/>
        <w:rPr>
          <w:rFonts w:ascii="Tahoma" w:hAnsi="Tahoma"/>
          <w:b/>
          <w:b/>
          <w:i/>
          <w:i/>
          <w:sz w:val="18"/>
        </w:rPr>
      </w:pPr>
      <w:r>
        <w:rPr>
          <w:rFonts w:ascii="Tahoma" w:hAnsi="Tahoma"/>
          <w:b/>
          <w:i/>
          <w:sz w:val="18"/>
        </w:rPr>
        <w:t xml:space="preserve">6. </w:t>
      </w:r>
      <w:r>
        <w:rPr>
          <w:rFonts w:ascii="Tahoma" w:hAnsi="Tahoma"/>
          <w:b/>
          <w:bCs/>
          <w:i/>
          <w:sz w:val="18"/>
        </w:rPr>
        <w:t>V oblasti obrany štátu a civilnej ochrany obyvateľstva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6.3 </w:t>
      </w:r>
      <w:r>
        <w:rPr>
          <w:rFonts w:ascii="Tahoma" w:hAnsi="Tahoma"/>
          <w:bCs/>
          <w:i/>
          <w:sz w:val="18"/>
        </w:rPr>
        <w:t>stavby civilnej ochrany obyvateľstva,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6.3.1</w:t>
      </w:r>
      <w:r>
        <w:rPr>
          <w:rFonts w:ascii="Times New Roman" w:hAnsi="Times New Roman"/>
          <w:sz w:val="19"/>
          <w:szCs w:val="19"/>
        </w:rPr>
        <w:t xml:space="preserve"> </w:t>
      </w:r>
      <w:r>
        <w:rPr>
          <w:rFonts w:ascii="Tahoma" w:hAnsi="Tahoma"/>
          <w:bCs/>
          <w:i/>
          <w:sz w:val="18"/>
        </w:rPr>
        <w:t>zariadenia na ukrývanie obyvateľstva v prípade ich ohrozenia,</w:t>
      </w:r>
    </w:p>
    <w:p>
      <w:pPr>
        <w:pStyle w:val="PlainText"/>
        <w:spacing w:lineRule="atLeast" w:line="26"/>
        <w:ind w:left="851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bCs/>
          <w:i/>
          <w:sz w:val="18"/>
        </w:rPr>
        <w:t>6.3.2 zariadenia na signalizáciu a koordináciu činnosti v stave ohrozenia.</w:t>
      </w:r>
    </w:p>
    <w:p>
      <w:pPr>
        <w:pStyle w:val="PlainText"/>
        <w:spacing w:lineRule="atLeast" w:line="26"/>
        <w:ind w:firstLine="284"/>
        <w:rPr>
          <w:rFonts w:ascii="Tahoma" w:hAnsi="Tahoma"/>
          <w:b/>
          <w:b/>
          <w:i/>
          <w:i/>
          <w:sz w:val="18"/>
        </w:rPr>
      </w:pPr>
      <w:r>
        <w:rPr>
          <w:rFonts w:ascii="Tahoma" w:hAnsi="Tahoma"/>
          <w:b/>
          <w:i/>
          <w:sz w:val="18"/>
        </w:rPr>
        <w:t xml:space="preserve">7. </w:t>
      </w:r>
      <w:r>
        <w:rPr>
          <w:rFonts w:ascii="Tahoma" w:hAnsi="Tahoma"/>
          <w:b/>
          <w:bCs/>
          <w:i/>
          <w:sz w:val="18"/>
        </w:rPr>
        <w:t>V oblasti prírodného a kultúrneho dedičstva</w:t>
      </w:r>
    </w:p>
    <w:p>
      <w:pPr>
        <w:pStyle w:val="PlainText"/>
        <w:spacing w:lineRule="atLeast" w:line="26"/>
        <w:ind w:left="567" w:hanging="0"/>
        <w:rPr>
          <w:rFonts w:ascii="Tahoma" w:hAnsi="Tahoma"/>
          <w:i/>
          <w:i/>
          <w:sz w:val="18"/>
        </w:rPr>
      </w:pPr>
      <w:r>
        <w:rPr>
          <w:rFonts w:ascii="Tahoma" w:hAnsi="Tahoma"/>
          <w:i/>
          <w:sz w:val="18"/>
        </w:rPr>
        <w:t>7.1 stavby uvedené v Ústrednom zozname pamiatok vyhlásené za národné kultúrne pamiatky, pamiatky a ich okolie zapísané v zozname svetového kultúrneho dedičstva UNESCO a objekty súvisiace s pamiatkovo chránenými historickými parkami, ich údržbu a úpravy realizovať len so súhlasom pamiatkového úradu,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7.3 </w:t>
      </w:r>
      <w:r>
        <w:rPr>
          <w:rFonts w:ascii="Tahoma" w:hAnsi="Tahoma"/>
          <w:bCs/>
          <w:i/>
          <w:sz w:val="18"/>
        </w:rPr>
        <w:t>stavby pre ochranu, prieskum a sprístupnenie archeologických lokalít.</w:t>
      </w:r>
    </w:p>
    <w:p>
      <w:pPr>
        <w:pStyle w:val="PlainText"/>
        <w:spacing w:lineRule="atLeast" w:line="26"/>
        <w:ind w:firstLine="284"/>
        <w:rPr>
          <w:rFonts w:ascii="Tahoma" w:hAnsi="Tahoma"/>
          <w:b/>
          <w:b/>
          <w:i/>
          <w:i/>
          <w:sz w:val="18"/>
        </w:rPr>
      </w:pPr>
      <w:r>
        <w:rPr>
          <w:rFonts w:ascii="Tahoma" w:hAnsi="Tahoma"/>
          <w:b/>
          <w:i/>
          <w:sz w:val="18"/>
        </w:rPr>
        <w:t xml:space="preserve">8. </w:t>
      </w:r>
      <w:r>
        <w:rPr>
          <w:rFonts w:ascii="Tahoma" w:hAnsi="Tahoma"/>
          <w:b/>
          <w:bCs/>
          <w:i/>
          <w:sz w:val="18"/>
        </w:rPr>
        <w:t>V oblasti poľnohospodárstva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8.2 </w:t>
      </w:r>
      <w:r>
        <w:rPr>
          <w:rFonts w:ascii="Tahoma" w:hAnsi="Tahoma"/>
          <w:bCs/>
          <w:i/>
          <w:sz w:val="18"/>
        </w:rPr>
        <w:t>stavby viacúčelových vodných nádrží pre protipovodňovú ochranu a  zavlažovanie s využitím pre  rekreáciu a turizmus, rybné hospodárstvo a ekostabilizáciu.</w:t>
      </w:r>
    </w:p>
    <w:p>
      <w:pPr>
        <w:pStyle w:val="PlainText"/>
        <w:spacing w:lineRule="atLeast" w:line="26"/>
        <w:ind w:firstLine="284"/>
        <w:rPr>
          <w:rFonts w:ascii="Tahoma" w:hAnsi="Tahoma"/>
          <w:b/>
          <w:b/>
          <w:i/>
          <w:i/>
          <w:sz w:val="18"/>
        </w:rPr>
      </w:pPr>
      <w:r>
        <w:rPr>
          <w:rFonts w:ascii="Tahoma" w:hAnsi="Tahoma"/>
          <w:b/>
          <w:i/>
          <w:sz w:val="18"/>
        </w:rPr>
        <w:t xml:space="preserve">9. </w:t>
      </w:r>
      <w:r>
        <w:rPr>
          <w:rFonts w:ascii="Tahoma" w:hAnsi="Tahoma"/>
          <w:b/>
          <w:bCs/>
          <w:i/>
          <w:sz w:val="18"/>
        </w:rPr>
        <w:t>V oblasti životného prostredia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9.1 </w:t>
      </w:r>
      <w:r>
        <w:rPr>
          <w:rFonts w:ascii="Tahoma" w:hAnsi="Tahoma"/>
          <w:bCs/>
          <w:i/>
          <w:sz w:val="18"/>
        </w:rPr>
        <w:t>stavby na ochranu pred prívalovými vodami – ochranné hrádze a úpravy vodného toku, priehradzky, poldre a  viacúčelové vodné nádrže,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9.2 </w:t>
      </w:r>
      <w:r>
        <w:rPr>
          <w:rFonts w:ascii="Tahoma" w:hAnsi="Tahoma"/>
          <w:bCs/>
          <w:i/>
          <w:sz w:val="18"/>
        </w:rPr>
        <w:t>stavby na účely monitorovania stavu  životného prostredia.</w:t>
      </w:r>
    </w:p>
    <w:p>
      <w:pPr>
        <w:pStyle w:val="PlainText"/>
        <w:spacing w:lineRule="atLeast" w:line="26"/>
        <w:ind w:firstLine="284"/>
        <w:rPr>
          <w:rFonts w:ascii="Tahoma" w:hAnsi="Tahoma"/>
          <w:b/>
          <w:b/>
          <w:i/>
          <w:i/>
          <w:sz w:val="18"/>
        </w:rPr>
      </w:pPr>
      <w:r>
        <w:rPr>
          <w:rFonts w:ascii="Tahoma" w:hAnsi="Tahoma"/>
          <w:b/>
          <w:i/>
          <w:sz w:val="18"/>
        </w:rPr>
        <w:t xml:space="preserve">10. </w:t>
      </w:r>
      <w:r>
        <w:rPr>
          <w:rFonts w:ascii="Tahoma" w:hAnsi="Tahoma"/>
          <w:b/>
          <w:bCs/>
          <w:i/>
          <w:sz w:val="18"/>
        </w:rPr>
        <w:t>V oblasti odpadového hospodárstva</w:t>
      </w:r>
    </w:p>
    <w:p>
      <w:pPr>
        <w:pStyle w:val="PlainText"/>
        <w:spacing w:lineRule="atLeast" w:line="26"/>
        <w:ind w:left="567" w:hanging="0"/>
        <w:rPr>
          <w:rFonts w:ascii="Tahoma" w:hAnsi="Tahoma"/>
          <w:bCs/>
          <w:i/>
          <w:i/>
          <w:sz w:val="18"/>
        </w:rPr>
      </w:pPr>
      <w:r>
        <w:rPr>
          <w:rFonts w:ascii="Tahoma" w:hAnsi="Tahoma"/>
          <w:i/>
          <w:sz w:val="18"/>
        </w:rPr>
        <w:t xml:space="preserve">10.3 </w:t>
      </w:r>
      <w:r>
        <w:rPr>
          <w:rFonts w:ascii="Tahoma" w:hAnsi="Tahoma"/>
          <w:bCs/>
          <w:i/>
          <w:sz w:val="18"/>
        </w:rPr>
        <w:t>stavby a zariadenia na zneškodňovanie, dotrieďovanie, kompostovanie, recykláciu odpadov   a materiálového a energetického zhodnotenia všetkých druhov odpadov,</w:t>
      </w:r>
    </w:p>
    <w:p>
      <w:pPr>
        <w:pStyle w:val="PlainText"/>
        <w:spacing w:lineRule="atLeast" w:line="26"/>
        <w:rPr>
          <w:rFonts w:ascii="Tahoma" w:hAnsi="Tahoma"/>
          <w:sz w:val="18"/>
        </w:rPr>
      </w:pPr>
      <w:r>
        <w:rPr>
          <w:rFonts w:ascii="Tahoma" w:hAnsi="Tahoma"/>
          <w:sz w:val="18"/>
        </w:rPr>
      </w:r>
    </w:p>
    <w:p>
      <w:pPr>
        <w:pStyle w:val="ListNumber"/>
        <w:rPr/>
      </w:pPr>
      <w:r>
        <w:rPr/>
      </w:r>
    </w:p>
    <w:p>
      <w:pPr>
        <w:pStyle w:val="ListNumber"/>
        <w:rPr/>
      </w:pPr>
      <w:r>
        <w:rPr/>
      </w:r>
    </w:p>
    <w:p>
      <w:pPr>
        <w:pStyle w:val="ListNumber"/>
        <w:rPr/>
      </w:pPr>
      <w:r>
        <w:rPr/>
      </w:r>
    </w:p>
    <w:p>
      <w:pPr>
        <w:pStyle w:val="ListNumber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8" w:right="1418" w:header="708" w:top="1418" w:footer="708" w:bottom="1418" w:gutter="0"/>
      <w:pgNumType w:fmt="decimal"/>
      <w:formProt w:val="false"/>
      <w:titlePg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Mriekatabuky"/>
      <w:tblW w:w="8928" w:type="dxa"/>
      <w:jc w:val="left"/>
      <w:tblInd w:w="0" w:type="dxa"/>
      <w:tblCellMar>
        <w:top w:w="0" w:type="dxa"/>
        <w:left w:w="12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391"/>
      <w:gridCol w:w="3972"/>
      <w:gridCol w:w="3969"/>
      <w:gridCol w:w="595"/>
    </w:tblGrid>
    <w:tr>
      <w:trPr/>
      <w:tc>
        <w:tcPr>
          <w:tcW w:w="391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color="auto" w:fill="auto" w:val="clear"/>
        </w:tcPr>
        <w:p>
          <w:pPr>
            <w:pStyle w:val="Pta"/>
            <w:jc w:val="left"/>
            <w:rPr>
              <w:rFonts w:ascii="Arial Narrow" w:hAnsi="Arial Narrow"/>
              <w:i/>
              <w:i/>
              <w:sz w:val="18"/>
            </w:rPr>
          </w:pPr>
          <w:r>
            <w:rPr>
              <w:rFonts w:ascii="Arial Narrow" w:hAnsi="Arial Narrow"/>
              <w:i/>
              <w:sz w:val="18"/>
            </w:rPr>
            <mc:AlternateContent>
              <mc:Choice Requires="wps">
                <w:drawing>
                  <wp:anchor behindDoc="1" distT="0" distB="0" distL="114300" distR="114300" simplePos="0" locked="0" layoutInCell="1" allowOverlap="1" relativeHeight="8" wp14:anchorId="4736AF54">
                    <wp:simplePos x="0" y="0"/>
                    <wp:positionH relativeFrom="column">
                      <wp:posOffset>-80645</wp:posOffset>
                    </wp:positionH>
                    <wp:positionV relativeFrom="paragraph">
                      <wp:posOffset>-50800</wp:posOffset>
                    </wp:positionV>
                    <wp:extent cx="5685155" cy="3810"/>
                    <wp:effectExtent l="0" t="0" r="13970" b="19050"/>
                    <wp:wrapNone/>
                    <wp:docPr id="1" name="Line 15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684400" cy="720"/>
                            </a:xfrm>
                            <a:prstGeom prst="line">
                              <a:avLst/>
                            </a:prstGeom>
                            <a:ln w="936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shape_0" from="-6.4pt,-4.05pt" to="441.15pt,-4.05pt" ID="Line 15" stroked="f" style="position:absolute" wp14:anchorId="4736AF54">
                    <v:stroke color="#3465a4" weight="9360" joinstyle="round" endcap="flat"/>
                    <v:fill o:detectmouseclick="t" on="false"/>
                  </v:line>
                </w:pict>
              </mc:Fallback>
            </mc:AlternateContent>
          </w:r>
        </w:p>
      </w:tc>
      <w:tc>
        <w:tcPr>
          <w:tcW w:w="3972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color="auto" w:fill="auto" w:val="clear"/>
        </w:tcPr>
        <w:p>
          <w:pPr>
            <w:pStyle w:val="Pta"/>
            <w:jc w:val="left"/>
            <w:rPr>
              <w:sz w:val="16"/>
              <w:szCs w:val="16"/>
            </w:rPr>
          </w:pPr>
          <w:r>
            <w:rPr>
              <w:rFonts w:ascii="Arial Narrow" w:hAnsi="Arial Narrow"/>
              <w:i/>
              <w:sz w:val="16"/>
              <w:szCs w:val="16"/>
            </w:rPr>
            <w:t xml:space="preserve"> </w:t>
          </w:r>
        </w:p>
        <w:p>
          <w:pPr>
            <w:pStyle w:val="Pta"/>
            <w:jc w:val="left"/>
            <w:rPr>
              <w:sz w:val="16"/>
              <w:szCs w:val="16"/>
            </w:rPr>
          </w:pPr>
          <w:r>
            <w:rPr>
              <w:rFonts w:ascii="Arial Narrow" w:hAnsi="Arial Narrow"/>
              <w:i/>
              <w:sz w:val="16"/>
              <w:szCs w:val="16"/>
            </w:rPr>
            <w:t xml:space="preserve"> 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color="auto" w:fill="auto" w:val="clear"/>
        </w:tcPr>
        <w:p>
          <w:pPr>
            <w:pStyle w:val="Pta"/>
            <w:jc w:val="right"/>
            <w:rPr>
              <w:rFonts w:ascii="Arial Narrow" w:hAnsi="Arial Narrow"/>
              <w:i/>
              <w:i/>
              <w:sz w:val="18"/>
              <w:szCs w:val="18"/>
            </w:rPr>
          </w:pPr>
          <w:r>
            <w:rPr>
              <w:rFonts w:ascii="Arial Narrow" w:hAnsi="Arial Narrow"/>
              <w:i/>
              <w:sz w:val="18"/>
              <w:szCs w:val="18"/>
            </w:rPr>
          </w:r>
        </w:p>
      </w:tc>
      <w:tc>
        <w:tcPr>
          <w:tcW w:w="59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color="auto" w:fill="auto" w:val="clear"/>
        </w:tcPr>
        <w:p>
          <w:pPr>
            <w:pStyle w:val="Pta"/>
            <w:jc w:val="right"/>
            <w:rPr/>
          </w:pPr>
          <w:r>
            <w:rPr/>
            <w:fldChar w:fldCharType="begin"/>
          </w:r>
          <w:r>
            <w:instrText> PAGE </w:instrText>
          </w:r>
          <w:r>
            <w:fldChar w:fldCharType="separate"/>
          </w:r>
          <w:r>
            <w:t>8</w:t>
          </w:r>
          <w:r>
            <w:fldChar w:fldCharType="end"/>
          </w:r>
        </w:p>
      </w:tc>
    </w:tr>
  </w:tbl>
  <w:p>
    <w:pPr>
      <w:pStyle w:val="Pt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Mriekatabuky"/>
      <w:tblW w:w="8928" w:type="dxa"/>
      <w:jc w:val="left"/>
      <w:tblInd w:w="0" w:type="dxa"/>
      <w:tblCellMar>
        <w:top w:w="0" w:type="dxa"/>
        <w:left w:w="12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391"/>
      <w:gridCol w:w="3972"/>
      <w:gridCol w:w="3969"/>
      <w:gridCol w:w="595"/>
    </w:tblGrid>
    <w:tr>
      <w:trPr/>
      <w:tc>
        <w:tcPr>
          <w:tcW w:w="391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color="auto" w:fill="auto" w:val="clear"/>
        </w:tcPr>
        <w:p>
          <w:pPr>
            <w:pStyle w:val="Pta"/>
            <w:jc w:val="left"/>
            <w:rPr>
              <w:rFonts w:ascii="Arial Narrow" w:hAnsi="Arial Narrow"/>
              <w:i/>
              <w:i/>
              <w:sz w:val="18"/>
            </w:rPr>
          </w:pPr>
          <w:r>
            <w:rPr>
              <w:rFonts w:ascii="Arial Narrow" w:hAnsi="Arial Narrow"/>
              <w:i/>
              <w:sz w:val="18"/>
            </w:rPr>
            <mc:AlternateContent>
              <mc:Choice Requires="wps">
                <w:drawing>
                  <wp:anchor behindDoc="1" distT="0" distB="0" distL="114300" distR="114300" simplePos="0" locked="0" layoutInCell="1" allowOverlap="1" relativeHeight="9" wp14:anchorId="7F4DE9B4">
                    <wp:simplePos x="0" y="0"/>
                    <wp:positionH relativeFrom="column">
                      <wp:posOffset>-80645</wp:posOffset>
                    </wp:positionH>
                    <wp:positionV relativeFrom="paragraph">
                      <wp:posOffset>-50800</wp:posOffset>
                    </wp:positionV>
                    <wp:extent cx="5685155" cy="3810"/>
                    <wp:effectExtent l="0" t="0" r="13970" b="19050"/>
                    <wp:wrapNone/>
                    <wp:docPr id="2" name="Line 15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684400" cy="720"/>
                            </a:xfrm>
                            <a:prstGeom prst="line">
                              <a:avLst/>
                            </a:prstGeom>
                            <a:ln w="936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shape_0" from="-6.4pt,-4.05pt" to="441.15pt,-4.05pt" ID="Line 15" stroked="f" style="position:absolute" wp14:anchorId="7F4DE9B4">
                    <v:stroke color="#3465a4" weight="9360" joinstyle="round" endcap="flat"/>
                    <v:fill o:detectmouseclick="t" on="false"/>
                  </v:line>
                </w:pict>
              </mc:Fallback>
            </mc:AlternateContent>
          </w:r>
        </w:p>
      </w:tc>
      <w:tc>
        <w:tcPr>
          <w:tcW w:w="3972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color="auto" w:fill="auto" w:val="clear"/>
        </w:tcPr>
        <w:p>
          <w:pPr>
            <w:pStyle w:val="Pta"/>
            <w:jc w:val="left"/>
            <w:rPr>
              <w:sz w:val="16"/>
              <w:szCs w:val="16"/>
            </w:rPr>
          </w:pPr>
          <w:r>
            <w:rPr>
              <w:rFonts w:ascii="Arial Narrow" w:hAnsi="Arial Narrow"/>
              <w:i/>
              <w:sz w:val="16"/>
            </w:rPr>
            <w:t xml:space="preserve"> </w:t>
          </w:r>
        </w:p>
        <w:p>
          <w:pPr>
            <w:pStyle w:val="Pta"/>
            <w:jc w:val="left"/>
            <w:rPr>
              <w:sz w:val="16"/>
              <w:szCs w:val="16"/>
            </w:rPr>
          </w:pPr>
          <w:r>
            <w:rPr>
              <w:rFonts w:ascii="Arial Narrow" w:hAnsi="Arial Narrow"/>
              <w:i/>
              <w:sz w:val="16"/>
              <w:szCs w:val="16"/>
            </w:rPr>
            <w:t xml:space="preserve"> 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color="auto" w:fill="auto" w:val="clear"/>
        </w:tcPr>
        <w:p>
          <w:pPr>
            <w:pStyle w:val="Pta"/>
            <w:jc w:val="right"/>
            <w:rPr>
              <w:rFonts w:ascii="Arial Narrow" w:hAnsi="Arial Narrow"/>
              <w:i/>
              <w:i/>
              <w:sz w:val="18"/>
              <w:szCs w:val="18"/>
            </w:rPr>
          </w:pPr>
          <w:r>
            <w:rPr>
              <w:rFonts w:ascii="Arial Narrow" w:hAnsi="Arial Narrow"/>
              <w:i/>
              <w:sz w:val="18"/>
              <w:szCs w:val="18"/>
            </w:rPr>
          </w:r>
        </w:p>
      </w:tc>
      <w:tc>
        <w:tcPr>
          <w:tcW w:w="59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color="auto" w:fill="auto" w:val="clear"/>
        </w:tcPr>
        <w:p>
          <w:pPr>
            <w:pStyle w:val="Pta"/>
            <w:jc w:val="right"/>
            <w:rPr/>
          </w:pPr>
          <w:r>
            <w:rPr/>
            <w:fldChar w:fldCharType="begin"/>
          </w:r>
          <w:r>
            <w:instrText> PAGE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>
    <w:pPr>
      <w:pStyle w:val="Pt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Mriekatabuky"/>
      <w:tblW w:w="8926" w:type="dxa"/>
      <w:jc w:val="left"/>
      <w:tblInd w:w="0" w:type="dxa"/>
      <w:tblCellMar>
        <w:top w:w="0" w:type="dxa"/>
        <w:left w:w="12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463"/>
      <w:gridCol w:w="4462"/>
    </w:tblGrid>
    <w:tr>
      <w:trPr/>
      <w:tc>
        <w:tcPr>
          <w:tcW w:w="4463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color="auto" w:fill="auto" w:val="clear"/>
        </w:tcPr>
        <w:p>
          <w:pPr>
            <w:pStyle w:val="Hlavika"/>
            <w:rPr>
              <w:b/>
              <w:b/>
              <w:i/>
              <w:i/>
              <w:smallCaps/>
              <w:sz w:val="18"/>
            </w:rPr>
          </w:pPr>
          <w:r>
            <w:rPr>
              <w:b/>
              <w:i/>
              <w:smallCaps/>
              <w:sz w:val="18"/>
            </w:rPr>
          </w:r>
        </w:p>
      </w:tc>
      <w:tc>
        <w:tcPr>
          <w:tcW w:w="4462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color="auto" w:fill="auto" w:val="clear"/>
        </w:tcPr>
        <w:p>
          <w:pPr>
            <w:pStyle w:val="Hlavika"/>
            <w:jc w:val="right"/>
            <w:rPr>
              <w:b/>
              <w:b/>
              <w:i/>
              <w:i/>
              <w:smallCaps/>
              <w:sz w:val="18"/>
            </w:rPr>
          </w:pPr>
          <w:r>
            <w:rPr>
              <w:b/>
              <w:i/>
              <w:smallCaps/>
              <w:sz w:val="18"/>
            </w:rPr>
            <w:t xml:space="preserve"> </w:t>
          </w:r>
        </w:p>
      </w:tc>
    </w:tr>
  </w:tbl>
  <w:p>
    <w:pPr>
      <w:pStyle w:val="Hlavika"/>
      <w:rPr>
        <w:b/>
        <w:b/>
        <w:i/>
        <w:i/>
        <w:outline/>
        <w:color w:val="000000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i/>
        <w:outline/>
        <w:color w:val="000000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Mriekatabuky"/>
      <w:tblW w:w="8926" w:type="dxa"/>
      <w:jc w:val="left"/>
      <w:tblInd w:w="0" w:type="dxa"/>
      <w:tblCellMar>
        <w:top w:w="0" w:type="dxa"/>
        <w:left w:w="12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463"/>
      <w:gridCol w:w="4462"/>
    </w:tblGrid>
    <w:tr>
      <w:trPr/>
      <w:tc>
        <w:tcPr>
          <w:tcW w:w="4463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color="auto" w:fill="auto" w:val="clear"/>
        </w:tcPr>
        <w:p>
          <w:pPr>
            <w:pStyle w:val="Hlavika"/>
            <w:rPr/>
          </w:pPr>
          <w:r>
            <w:rPr>
              <w:b/>
              <w:i/>
              <w:smallCaps/>
              <w:sz w:val="18"/>
            </w:rPr>
            <w:t xml:space="preserve">                   </w:t>
          </w:r>
          <w:r>
            <w:rPr>
              <w:b/>
              <w:i/>
              <w:smallCaps/>
              <w:sz w:val="18"/>
            </w:rPr>
            <w:tab/>
            <w:t xml:space="preserve">                                                                                                                              </w:t>
          </w:r>
        </w:p>
      </w:tc>
      <w:tc>
        <w:tcPr>
          <w:tcW w:w="4462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color="auto" w:fill="auto" w:val="clear"/>
        </w:tcPr>
        <w:p>
          <w:pPr>
            <w:pStyle w:val="Hlavika"/>
            <w:jc w:val="right"/>
            <w:rPr>
              <w:b/>
              <w:b/>
              <w:i/>
              <w:i/>
              <w:smallCaps/>
              <w:sz w:val="18"/>
            </w:rPr>
          </w:pPr>
          <w:r>
            <w:rPr>
              <w:b/>
              <w:i/>
              <w:smallCaps/>
              <w:sz w:val="18"/>
            </w:rPr>
            <w:t xml:space="preserve"> </w:t>
          </w:r>
        </w:p>
      </w:tc>
    </w:tr>
  </w:tbl>
  <w:p>
    <w:pPr>
      <w:pStyle w:val="Hlavika"/>
      <w:rPr>
        <w:b/>
        <w:b/>
        <w:i/>
        <w:i/>
        <w:outline/>
        <w:color w:val="000000"/>
        <w:sz w:val="18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>
      <w:rPr>
        <w:b/>
        <w:i/>
        <w:outline/>
        <w:color w:val="000000"/>
        <w:sz w:val="18"/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                                                                                                           </w:t>
    </w:r>
  </w:p>
</w:hdr>
</file>

<file path=word/settings.xml><?xml version="1.0" encoding="utf-8"?>
<w:settings xmlns:w="http://schemas.openxmlformats.org/wordprocessingml/2006/main">
  <w:zoom w:percent="110"/>
  <w:embedSystemFont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sk-SK" w:eastAsia="sk-SK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5295d"/>
    <w:pPr>
      <w:widowControl/>
      <w:bidi w:val="0"/>
      <w:jc w:val="both"/>
    </w:pPr>
    <w:rPr>
      <w:rFonts w:ascii="Tahoma" w:hAnsi="Tahoma" w:eastAsia="Times New Roman" w:cs="Times New Roman"/>
      <w:color w:val="00000A"/>
      <w:sz w:val="20"/>
      <w:szCs w:val="20"/>
      <w:lang w:val="sk-SK" w:eastAsia="sk-SK" w:bidi="ar-SA"/>
    </w:rPr>
  </w:style>
  <w:style w:type="paragraph" w:styleId="Nadpis1">
    <w:name w:val="Heading 1"/>
    <w:basedOn w:val="Normal"/>
    <w:qFormat/>
    <w:rsid w:val="00e5295d"/>
    <w:pPr>
      <w:keepNext w:val="true"/>
      <w:widowControl w:val="false"/>
      <w:spacing w:before="240" w:after="60"/>
      <w:jc w:val="left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al"/>
    <w:qFormat/>
    <w:rsid w:val="00e5295d"/>
    <w:pPr>
      <w:spacing w:before="240" w:after="60"/>
      <w:jc w:val="left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al"/>
    <w:qFormat/>
    <w:rsid w:val="00e5295d"/>
    <w:pPr>
      <w:keepNext w:val="true"/>
      <w:spacing w:before="240" w:after="60"/>
      <w:jc w:val="left"/>
      <w:outlineLvl w:val="2"/>
    </w:pPr>
    <w:rPr>
      <w:rFonts w:ascii="Arial" w:hAnsi="Arial"/>
      <w:b/>
      <w:sz w:val="28"/>
    </w:rPr>
  </w:style>
  <w:style w:type="paragraph" w:styleId="Nadpis4">
    <w:name w:val="Heading 4"/>
    <w:basedOn w:val="Normal"/>
    <w:qFormat/>
    <w:rsid w:val="00e5295d"/>
    <w:pPr>
      <w:keepNext w:val="true"/>
      <w:spacing w:before="240" w:after="60"/>
      <w:jc w:val="left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al"/>
    <w:qFormat/>
    <w:rsid w:val="00e5295d"/>
    <w:pPr>
      <w:spacing w:before="240" w:after="60"/>
      <w:outlineLvl w:val="4"/>
    </w:pPr>
    <w:rPr>
      <w:rFonts w:ascii="Arial" w:hAnsi="Arial"/>
      <w:b/>
      <w:i/>
      <w:sz w:val="24"/>
    </w:rPr>
  </w:style>
  <w:style w:type="paragraph" w:styleId="Nadpis6">
    <w:name w:val="Heading 6"/>
    <w:basedOn w:val="Normal"/>
    <w:qFormat/>
    <w:rsid w:val="00e5295d"/>
    <w:pPr>
      <w:spacing w:before="240" w:after="60"/>
      <w:outlineLvl w:val="5"/>
    </w:pPr>
    <w:rPr>
      <w:rFonts w:ascii="Times New Roman" w:hAnsi="Times New Roman"/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5295d"/>
    <w:rPr/>
  </w:style>
  <w:style w:type="character" w:styleId="HlavikaChar" w:customStyle="1">
    <w:name w:val="Hlavička Char"/>
    <w:basedOn w:val="DefaultParagraphFont"/>
    <w:link w:val="Hlavika"/>
    <w:qFormat/>
    <w:rsid w:val="00bc32e7"/>
    <w:rPr>
      <w:rFonts w:ascii="Tahoma" w:hAnsi="Tahoma"/>
    </w:rPr>
  </w:style>
  <w:style w:type="character" w:styleId="PtaChar" w:customStyle="1">
    <w:name w:val="Päta Char"/>
    <w:basedOn w:val="DefaultParagraphFont"/>
    <w:link w:val="Pta"/>
    <w:uiPriority w:val="99"/>
    <w:qFormat/>
    <w:rsid w:val="00945a9a"/>
    <w:rPr>
      <w:rFonts w:ascii="Tahoma" w:hAnsi="Tahoma"/>
    </w:rPr>
  </w:style>
  <w:style w:type="character" w:styleId="ListLabel1" w:customStyle="1">
    <w:name w:val="ListLabel 1"/>
    <w:qFormat/>
    <w:rPr>
      <w:rFonts w:cs="Arial"/>
      <w:b/>
      <w:i w:val="false"/>
      <w:sz w:val="20"/>
      <w:szCs w:val="20"/>
    </w:rPr>
  </w:style>
  <w:style w:type="character" w:styleId="ListLabel2" w:customStyle="1">
    <w:name w:val="ListLabel 2"/>
    <w:qFormat/>
    <w:rPr>
      <w:sz w:val="16"/>
    </w:rPr>
  </w:style>
  <w:style w:type="character" w:styleId="ListLabel3" w:customStyle="1">
    <w:name w:val="ListLabel 3"/>
    <w:qFormat/>
    <w:rPr>
      <w:sz w:val="16"/>
    </w:rPr>
  </w:style>
  <w:style w:type="character" w:styleId="ListLabel4" w:customStyle="1">
    <w:name w:val="ListLabel 4"/>
    <w:qFormat/>
    <w:rPr>
      <w:sz w:val="16"/>
    </w:rPr>
  </w:style>
  <w:style w:type="character" w:styleId="ListLabel5" w:customStyle="1">
    <w:name w:val="ListLabel 5"/>
    <w:qFormat/>
    <w:rPr>
      <w:sz w:val="16"/>
    </w:rPr>
  </w:style>
  <w:style w:type="character" w:styleId="ListLabel6" w:customStyle="1">
    <w:name w:val="ListLabel 6"/>
    <w:qFormat/>
    <w:rPr>
      <w:sz w:val="16"/>
    </w:rPr>
  </w:style>
  <w:style w:type="character" w:styleId="ListLabel7" w:customStyle="1">
    <w:name w:val="ListLabel 7"/>
    <w:qFormat/>
    <w:rPr>
      <w:sz w:val="16"/>
    </w:rPr>
  </w:style>
  <w:style w:type="character" w:styleId="ListLabel8" w:customStyle="1">
    <w:name w:val="ListLabel 8"/>
    <w:qFormat/>
    <w:rPr>
      <w:sz w:val="16"/>
    </w:rPr>
  </w:style>
  <w:style w:type="character" w:styleId="ListLabel9" w:customStyle="1">
    <w:name w:val="ListLabel 9"/>
    <w:qFormat/>
    <w:rPr>
      <w:sz w:val="16"/>
    </w:rPr>
  </w:style>
  <w:style w:type="character" w:styleId="ListLabel10" w:customStyle="1">
    <w:name w:val="ListLabel 10"/>
    <w:qFormat/>
    <w:rPr>
      <w:sz w:val="16"/>
    </w:rPr>
  </w:style>
  <w:style w:type="character" w:styleId="ListLabel11" w:customStyle="1">
    <w:name w:val="ListLabel 11"/>
    <w:qFormat/>
    <w:rPr>
      <w:sz w:val="16"/>
    </w:rPr>
  </w:style>
  <w:style w:type="character" w:styleId="ListLabel12" w:customStyle="1">
    <w:name w:val="ListLabel 12"/>
    <w:qFormat/>
    <w:rPr>
      <w:sz w:val="16"/>
    </w:rPr>
  </w:style>
  <w:style w:type="character" w:styleId="ListLabel13" w:customStyle="1">
    <w:name w:val="ListLabel 13"/>
    <w:qFormat/>
    <w:rPr>
      <w:sz w:val="16"/>
    </w:rPr>
  </w:style>
  <w:style w:type="character" w:styleId="ListLabel14" w:customStyle="1">
    <w:name w:val="ListLabel 14"/>
    <w:qFormat/>
    <w:rPr>
      <w:sz w:val="16"/>
    </w:rPr>
  </w:style>
  <w:style w:type="character" w:styleId="ListLabel15" w:customStyle="1">
    <w:name w:val="ListLabel 15"/>
    <w:qFormat/>
    <w:rPr>
      <w:sz w:val="16"/>
    </w:rPr>
  </w:style>
  <w:style w:type="character" w:styleId="ListLabel16" w:customStyle="1">
    <w:name w:val="ListLabel 16"/>
    <w:qFormat/>
    <w:rPr>
      <w:sz w:val="16"/>
    </w:rPr>
  </w:style>
  <w:style w:type="character" w:styleId="ListLabel17" w:customStyle="1">
    <w:name w:val="ListLabel 17"/>
    <w:qFormat/>
    <w:rPr>
      <w:sz w:val="16"/>
    </w:rPr>
  </w:style>
  <w:style w:type="character" w:styleId="ListLabel18" w:customStyle="1">
    <w:name w:val="ListLabel 18"/>
    <w:qFormat/>
    <w:rPr>
      <w:sz w:val="16"/>
    </w:rPr>
  </w:style>
  <w:style w:type="character" w:styleId="ListLabel19" w:customStyle="1">
    <w:name w:val="ListLabel 19"/>
    <w:qFormat/>
    <w:rPr>
      <w:sz w:val="16"/>
    </w:rPr>
  </w:style>
  <w:style w:type="character" w:styleId="ListLabel20" w:customStyle="1">
    <w:name w:val="ListLabel 20"/>
    <w:qFormat/>
    <w:rPr>
      <w:sz w:val="16"/>
    </w:rPr>
  </w:style>
  <w:style w:type="character" w:styleId="ListLabel21" w:customStyle="1">
    <w:name w:val="ListLabel 21"/>
    <w:qFormat/>
    <w:rPr>
      <w:sz w:val="16"/>
    </w:rPr>
  </w:style>
  <w:style w:type="character" w:styleId="ListLabel22" w:customStyle="1">
    <w:name w:val="ListLabel 22"/>
    <w:qFormat/>
    <w:rPr>
      <w:b/>
    </w:rPr>
  </w:style>
  <w:style w:type="character" w:styleId="ListLabel23" w:customStyle="1">
    <w:name w:val="ListLabel 23"/>
    <w:qFormat/>
    <w:rPr>
      <w:sz w:val="16"/>
    </w:rPr>
  </w:style>
  <w:style w:type="character" w:styleId="ListLabel24" w:customStyle="1">
    <w:name w:val="ListLabel 24"/>
    <w:qFormat/>
    <w:rPr>
      <w:sz w:val="16"/>
    </w:rPr>
  </w:style>
  <w:style w:type="character" w:styleId="ListLabel25" w:customStyle="1">
    <w:name w:val="ListLabel 25"/>
    <w:qFormat/>
    <w:rPr>
      <w:sz w:val="16"/>
    </w:rPr>
  </w:style>
  <w:style w:type="character" w:styleId="ListLabel26" w:customStyle="1">
    <w:name w:val="ListLabel 26"/>
    <w:qFormat/>
    <w:rPr>
      <w:sz w:val="16"/>
    </w:rPr>
  </w:style>
  <w:style w:type="character" w:styleId="ListLabel27" w:customStyle="1">
    <w:name w:val="ListLabel 27"/>
    <w:qFormat/>
    <w:rPr>
      <w:sz w:val="16"/>
    </w:rPr>
  </w:style>
  <w:style w:type="character" w:styleId="ListLabel28" w:customStyle="1">
    <w:name w:val="ListLabel 28"/>
    <w:qFormat/>
    <w:rPr>
      <w:sz w:val="16"/>
    </w:rPr>
  </w:style>
  <w:style w:type="character" w:styleId="ListLabel29" w:customStyle="1">
    <w:name w:val="ListLabel 29"/>
    <w:qFormat/>
    <w:rPr>
      <w:sz w:val="16"/>
    </w:rPr>
  </w:style>
  <w:style w:type="character" w:styleId="ListLabel30" w:customStyle="1">
    <w:name w:val="ListLabel 30"/>
    <w:qFormat/>
    <w:rPr>
      <w:sz w:val="16"/>
    </w:rPr>
  </w:style>
  <w:style w:type="character" w:styleId="ListLabel31" w:customStyle="1">
    <w:name w:val="ListLabel 31"/>
    <w:qFormat/>
    <w:rPr>
      <w:sz w:val="16"/>
    </w:rPr>
  </w:style>
  <w:style w:type="character" w:styleId="ListLabel32" w:customStyle="1">
    <w:name w:val="ListLabel 32"/>
    <w:qFormat/>
    <w:rPr>
      <w:sz w:val="16"/>
    </w:rPr>
  </w:style>
  <w:style w:type="character" w:styleId="ListLabel33" w:customStyle="1">
    <w:name w:val="ListLabel 33"/>
    <w:qFormat/>
    <w:rPr>
      <w:sz w:val="16"/>
    </w:rPr>
  </w:style>
  <w:style w:type="paragraph" w:styleId="Nadpis" w:customStyle="1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lotextu">
    <w:name w:val="Body Text"/>
    <w:basedOn w:val="Normal"/>
    <w:rsid w:val="00e5295d"/>
    <w:pPr>
      <w:tabs>
        <w:tab w:val="left" w:pos="709" w:leader="none"/>
        <w:tab w:val="left" w:pos="8364" w:leader="none"/>
      </w:tabs>
      <w:spacing w:before="60" w:after="60"/>
      <w:textAlignment w:val="baseline"/>
    </w:pPr>
    <w:rPr>
      <w:rFonts w:ascii="Arial" w:hAnsi="Arial"/>
    </w:rPr>
  </w:style>
  <w:style w:type="paragraph" w:styleId="Zoznam">
    <w:name w:val="List"/>
    <w:basedOn w:val="Telotextu"/>
    <w:pPr/>
    <w:rPr>
      <w:rFonts w:cs="Arial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Obsah1">
    <w:name w:val="TOC 1"/>
    <w:basedOn w:val="Normal"/>
    <w:autoRedefine/>
    <w:semiHidden/>
    <w:rsid w:val="00e5295d"/>
    <w:pPr>
      <w:spacing w:before="120" w:after="120"/>
      <w:jc w:val="left"/>
    </w:pPr>
    <w:rPr>
      <w:rFonts w:ascii="Times New Roman" w:hAnsi="Times New Roman"/>
      <w:b/>
      <w:caps/>
    </w:rPr>
  </w:style>
  <w:style w:type="paragraph" w:styleId="Hlavika">
    <w:name w:val="Header"/>
    <w:basedOn w:val="Normal"/>
    <w:link w:val="HlavikaChar"/>
    <w:rsid w:val="00e5295d"/>
    <w:pPr>
      <w:tabs>
        <w:tab w:val="center" w:pos="4536" w:leader="none"/>
        <w:tab w:val="right" w:pos="9072" w:leader="none"/>
      </w:tabs>
    </w:pPr>
    <w:rPr/>
  </w:style>
  <w:style w:type="paragraph" w:styleId="Pta">
    <w:name w:val="Footer"/>
    <w:basedOn w:val="Normal"/>
    <w:link w:val="PtaChar"/>
    <w:uiPriority w:val="99"/>
    <w:rsid w:val="00e5295d"/>
    <w:pPr>
      <w:tabs>
        <w:tab w:val="center" w:pos="4536" w:leader="none"/>
        <w:tab w:val="right" w:pos="9072" w:leader="none"/>
      </w:tabs>
    </w:pPr>
    <w:rPr/>
  </w:style>
  <w:style w:type="paragraph" w:styleId="Obsah2">
    <w:name w:val="TOC 2"/>
    <w:basedOn w:val="Normal"/>
    <w:autoRedefine/>
    <w:semiHidden/>
    <w:rsid w:val="00e5295d"/>
    <w:pPr>
      <w:ind w:left="220" w:hanging="0"/>
      <w:jc w:val="left"/>
    </w:pPr>
    <w:rPr>
      <w:rFonts w:ascii="Times New Roman" w:hAnsi="Times New Roman"/>
      <w:smallCaps/>
    </w:rPr>
  </w:style>
  <w:style w:type="paragraph" w:styleId="Obsah3">
    <w:name w:val="TOC 3"/>
    <w:basedOn w:val="Normal"/>
    <w:autoRedefine/>
    <w:semiHidden/>
    <w:rsid w:val="00e5295d"/>
    <w:pPr>
      <w:ind w:left="440" w:hanging="0"/>
      <w:jc w:val="left"/>
    </w:pPr>
    <w:rPr>
      <w:rFonts w:ascii="Times New Roman" w:hAnsi="Times New Roman"/>
      <w:i/>
    </w:rPr>
  </w:style>
  <w:style w:type="paragraph" w:styleId="Obsah4">
    <w:name w:val="TOC 4"/>
    <w:basedOn w:val="Normal"/>
    <w:autoRedefine/>
    <w:semiHidden/>
    <w:rsid w:val="00e5295d"/>
    <w:pPr>
      <w:ind w:left="660" w:hanging="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al"/>
    <w:autoRedefine/>
    <w:semiHidden/>
    <w:rsid w:val="00e5295d"/>
    <w:pPr>
      <w:ind w:left="880" w:hanging="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al"/>
    <w:autoRedefine/>
    <w:semiHidden/>
    <w:rsid w:val="00e5295d"/>
    <w:pPr>
      <w:ind w:left="1100" w:hanging="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al"/>
    <w:autoRedefine/>
    <w:semiHidden/>
    <w:rsid w:val="00e5295d"/>
    <w:pPr>
      <w:ind w:left="1320" w:hanging="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al"/>
    <w:autoRedefine/>
    <w:semiHidden/>
    <w:rsid w:val="00e5295d"/>
    <w:pPr>
      <w:ind w:left="1540" w:hanging="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al"/>
    <w:autoRedefine/>
    <w:semiHidden/>
    <w:rsid w:val="00e5295d"/>
    <w:pPr>
      <w:ind w:left="1760" w:hanging="0"/>
      <w:jc w:val="left"/>
    </w:pPr>
    <w:rPr>
      <w:rFonts w:ascii="Times New Roman" w:hAnsi="Times New Roman"/>
      <w:sz w:val="18"/>
    </w:rPr>
  </w:style>
  <w:style w:type="paragraph" w:styleId="Text" w:customStyle="1">
    <w:name w:val="text"/>
    <w:basedOn w:val="Normal"/>
    <w:qFormat/>
    <w:rsid w:val="00e5295d"/>
    <w:pPr>
      <w:widowControl w:val="false"/>
      <w:spacing w:before="60" w:after="60"/>
    </w:pPr>
    <w:rPr>
      <w:rFonts w:ascii="Arial" w:hAnsi="Arial"/>
    </w:rPr>
  </w:style>
  <w:style w:type="paragraph" w:styleId="ListBullet">
    <w:name w:val="List Bullet"/>
    <w:basedOn w:val="Text"/>
    <w:autoRedefine/>
    <w:qFormat/>
    <w:rsid w:val="00e5295d"/>
    <w:pPr>
      <w:spacing w:before="0" w:after="0"/>
      <w:ind w:left="1701" w:hanging="425"/>
    </w:pPr>
    <w:rPr>
      <w:rFonts w:ascii="Tahoma" w:hAnsi="Tahoma"/>
    </w:rPr>
  </w:style>
  <w:style w:type="paragraph" w:styleId="ListNumber">
    <w:name w:val="List Number"/>
    <w:basedOn w:val="Text"/>
    <w:qFormat/>
    <w:rsid w:val="00e5295d"/>
    <w:pPr>
      <w:spacing w:before="0" w:after="0"/>
      <w:ind w:firstLine="4"/>
    </w:pPr>
    <w:rPr>
      <w:rFonts w:ascii="Tahoma" w:hAnsi="Tahoma"/>
      <w:sz w:val="18"/>
    </w:rPr>
  </w:style>
  <w:style w:type="paragraph" w:styleId="Podnadpis">
    <w:name w:val="Subtitle"/>
    <w:basedOn w:val="Text"/>
    <w:qFormat/>
    <w:rsid w:val="00e5295d"/>
    <w:pPr>
      <w:jc w:val="center"/>
      <w:outlineLvl w:val="1"/>
    </w:pPr>
    <w:rPr>
      <w:b/>
      <w:sz w:val="26"/>
    </w:rPr>
  </w:style>
  <w:style w:type="paragraph" w:styleId="Odsadenietelatextu">
    <w:name w:val="Body Text Indent"/>
    <w:basedOn w:val="Normal"/>
    <w:rsid w:val="00e5295d"/>
    <w:pPr>
      <w:tabs>
        <w:tab w:val="left" w:pos="709" w:leader="none"/>
        <w:tab w:val="left" w:pos="8364" w:leader="none"/>
      </w:tabs>
    </w:pPr>
    <w:rPr>
      <w:rFonts w:ascii="Arial" w:hAnsi="Arial"/>
      <w:sz w:val="18"/>
    </w:rPr>
  </w:style>
  <w:style w:type="paragraph" w:styleId="PlainText">
    <w:name w:val="Plain Text"/>
    <w:basedOn w:val="Normal"/>
    <w:qFormat/>
    <w:rsid w:val="00e5295d"/>
    <w:pPr/>
    <w:rPr>
      <w:rFonts w:ascii="Courier New" w:hAnsi="Courier New"/>
    </w:rPr>
  </w:style>
  <w:style w:type="paragraph" w:styleId="Tableoffigures">
    <w:name w:val="table of figures"/>
    <w:basedOn w:val="Telotextu"/>
    <w:semiHidden/>
    <w:qFormat/>
    <w:rsid w:val="00e5295d"/>
    <w:pPr>
      <w:textAlignment w:val="auto"/>
    </w:pPr>
    <w:rPr>
      <w:b/>
    </w:rPr>
  </w:style>
  <w:style w:type="paragraph" w:styleId="ListBullet3">
    <w:name w:val="List Bullet 3"/>
    <w:basedOn w:val="Text"/>
    <w:autoRedefine/>
    <w:qFormat/>
    <w:rsid w:val="00e5295d"/>
    <w:pPr>
      <w:widowControl/>
      <w:spacing w:before="60" w:after="0"/>
      <w:ind w:left="510" w:hanging="425"/>
      <w:jc w:val="left"/>
      <w:textAlignment w:val="baseline"/>
    </w:pPr>
    <w:rPr/>
  </w:style>
  <w:style w:type="paragraph" w:styleId="ListBullet4">
    <w:name w:val="List Bullet 4"/>
    <w:basedOn w:val="Normal"/>
    <w:autoRedefine/>
    <w:qFormat/>
    <w:rsid w:val="00e5295d"/>
    <w:pPr>
      <w:tabs>
        <w:tab w:val="left" w:pos="2410" w:leader="none"/>
      </w:tabs>
      <w:ind w:left="2410" w:hanging="425"/>
      <w:jc w:val="left"/>
      <w:textAlignment w:val="baseline"/>
    </w:pPr>
    <w:rPr/>
  </w:style>
  <w:style w:type="paragraph" w:styleId="BodyText2">
    <w:name w:val="Body Text 2"/>
    <w:basedOn w:val="Normal"/>
    <w:qFormat/>
    <w:rsid w:val="00e5295d"/>
    <w:pPr/>
    <w:rPr>
      <w:i/>
    </w:rPr>
  </w:style>
  <w:style w:type="paragraph" w:styleId="Tabukatext" w:customStyle="1">
    <w:name w:val="Tabuľka text"/>
    <w:basedOn w:val="Normal"/>
    <w:qFormat/>
    <w:rsid w:val="00e5295d"/>
    <w:pPr>
      <w:jc w:val="left"/>
    </w:pPr>
    <w:rPr>
      <w:sz w:val="16"/>
    </w:rPr>
  </w:style>
  <w:style w:type="paragraph" w:styleId="Tabukanzov" w:customStyle="1">
    <w:name w:val="Tabuľka názov"/>
    <w:basedOn w:val="Normal"/>
    <w:qFormat/>
    <w:rsid w:val="00e5295d"/>
    <w:pPr>
      <w:jc w:val="center"/>
    </w:pPr>
    <w:rPr>
      <w:b/>
      <w:sz w:val="18"/>
    </w:rPr>
  </w:style>
  <w:style w:type="paragraph" w:styleId="BodyTextIndent2">
    <w:name w:val="Body Text Indent 2"/>
    <w:basedOn w:val="Normal"/>
    <w:qFormat/>
    <w:rsid w:val="00e5295d"/>
    <w:pPr>
      <w:spacing w:before="120" w:after="0"/>
      <w:ind w:left="708" w:hanging="0"/>
      <w:jc w:val="left"/>
    </w:pPr>
    <w:rPr>
      <w:rFonts w:ascii="Arial" w:hAnsi="Arial"/>
      <w:sz w:val="24"/>
    </w:rPr>
  </w:style>
  <w:style w:type="paragraph" w:styleId="BodyTextIndent3">
    <w:name w:val="Body Text Indent 3"/>
    <w:basedOn w:val="Normal"/>
    <w:qFormat/>
    <w:rsid w:val="00e5295d"/>
    <w:pPr>
      <w:spacing w:before="120" w:after="0"/>
      <w:ind w:firstLine="709"/>
    </w:pPr>
    <w:rPr>
      <w:rFonts w:ascii="Arial" w:hAnsi="Arial"/>
      <w:sz w:val="24"/>
    </w:rPr>
  </w:style>
  <w:style w:type="paragraph" w:styleId="BalloonText">
    <w:name w:val="Balloon Text"/>
    <w:basedOn w:val="Normal"/>
    <w:semiHidden/>
    <w:qFormat/>
    <w:rsid w:val="007d1f89"/>
    <w:pPr/>
    <w:rPr>
      <w:rFonts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8f69d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LibreOffice/5.3.7.2$Windows_X86_64 LibreOffice_project/6b8ed514a9f8b44d37a1b96673cbbdd077e24059</Application>
  <Pages>8</Pages>
  <Words>3959</Words>
  <Characters>27579</Characters>
  <CharactersWithSpaces>31718</CharactersWithSpaces>
  <Paragraphs>250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2017-10-25T18:27:00Z</dcterms:created>
  <dc:creator/>
  <dc:description/>
  <dc:language>sk-SK</dc:language>
  <cp:lastModifiedBy/>
  <dcterms:modified xsi:type="dcterms:W3CDTF">2017-10-25T18:28:00Z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